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73A18" w14:textId="4444A9FB"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D242A6">
        <w:t>1</w:t>
      </w:r>
      <w:r w:rsidR="00EB277E">
        <w:t>13</w:t>
      </w:r>
      <w:r w:rsidRPr="00CE0424">
        <w:tab/>
      </w:r>
      <w:r w:rsidR="00091557" w:rsidRPr="00CE0424">
        <w:rPr>
          <w:sz w:val="32"/>
          <w:szCs w:val="32"/>
        </w:rPr>
        <w:t>R</w:t>
      </w:r>
      <w:r w:rsidR="008F1C4E">
        <w:rPr>
          <w:sz w:val="32"/>
          <w:szCs w:val="32"/>
        </w:rPr>
        <w:t>1</w:t>
      </w:r>
      <w:r w:rsidR="00091557" w:rsidRPr="00CE0424">
        <w:rPr>
          <w:sz w:val="32"/>
          <w:szCs w:val="32"/>
        </w:rPr>
        <w:t>-</w:t>
      </w:r>
      <w:r w:rsidR="00222D5F" w:rsidRPr="00222D5F">
        <w:rPr>
          <w:sz w:val="32"/>
          <w:szCs w:val="32"/>
        </w:rPr>
        <w:t>2</w:t>
      </w:r>
      <w:r w:rsidR="0083548C">
        <w:rPr>
          <w:sz w:val="32"/>
          <w:szCs w:val="32"/>
        </w:rPr>
        <w:t>305698</w:t>
      </w:r>
    </w:p>
    <w:p w14:paraId="62CC9869" w14:textId="768C5BEF" w:rsidR="00E90E49" w:rsidRPr="00CE0424" w:rsidRDefault="00EB277E" w:rsidP="00311702">
      <w:pPr>
        <w:pStyle w:val="3GPPHeader"/>
      </w:pPr>
      <w:r w:rsidRPr="00EB277E">
        <w:t>Incheon, Korea, May 22nd – May 26th, 2023</w:t>
      </w:r>
      <w:r w:rsidR="00A30565">
        <w:t xml:space="preserve"> </w:t>
      </w:r>
    </w:p>
    <w:p w14:paraId="5DFFF159" w14:textId="77777777" w:rsidR="00E90E49" w:rsidRPr="00CE0424" w:rsidRDefault="00E90E49" w:rsidP="00357380">
      <w:pPr>
        <w:pStyle w:val="3GPPHeader"/>
      </w:pPr>
    </w:p>
    <w:p w14:paraId="7A0A51EB" w14:textId="63346B04" w:rsidR="00D242A6" w:rsidRPr="00D242A6" w:rsidRDefault="00E90E49" w:rsidP="00311702">
      <w:pPr>
        <w:pStyle w:val="3GPPHeader"/>
        <w:rPr>
          <w:sz w:val="22"/>
          <w:szCs w:val="22"/>
          <w:lang w:val="en-US"/>
        </w:rPr>
      </w:pPr>
      <w:r w:rsidRPr="00D242A6">
        <w:rPr>
          <w:sz w:val="22"/>
          <w:szCs w:val="22"/>
          <w:lang w:val="en-US"/>
        </w:rPr>
        <w:t>Agenda Item:</w:t>
      </w:r>
      <w:r w:rsidRPr="00D242A6">
        <w:rPr>
          <w:sz w:val="22"/>
          <w:szCs w:val="22"/>
          <w:lang w:val="en-US"/>
        </w:rPr>
        <w:tab/>
      </w:r>
      <w:r w:rsidR="0098390E">
        <w:rPr>
          <w:sz w:val="22"/>
          <w:szCs w:val="22"/>
          <w:lang w:val="en-US"/>
        </w:rPr>
        <w:t>9.16</w:t>
      </w:r>
      <w:r w:rsidR="004C4E2A">
        <w:rPr>
          <w:sz w:val="22"/>
          <w:szCs w:val="22"/>
          <w:lang w:val="en-US"/>
        </w:rPr>
        <w:t>.1</w:t>
      </w:r>
    </w:p>
    <w:p w14:paraId="6B97902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081013B" w14:textId="42ECDA20" w:rsidR="00E90E49" w:rsidRPr="00CE0424" w:rsidRDefault="003D3C45" w:rsidP="00311702">
      <w:pPr>
        <w:pStyle w:val="3GPPHeader"/>
        <w:rPr>
          <w:sz w:val="22"/>
          <w:szCs w:val="22"/>
        </w:rPr>
      </w:pPr>
      <w:r>
        <w:rPr>
          <w:sz w:val="22"/>
          <w:szCs w:val="22"/>
        </w:rPr>
        <w:t>Title:</w:t>
      </w:r>
      <w:r w:rsidR="00E90E49" w:rsidRPr="00CE0424">
        <w:rPr>
          <w:sz w:val="22"/>
          <w:szCs w:val="22"/>
        </w:rPr>
        <w:tab/>
      </w:r>
      <w:r w:rsidR="00D242A6">
        <w:rPr>
          <w:sz w:val="22"/>
          <w:szCs w:val="22"/>
        </w:rPr>
        <w:t>Discussion o</w:t>
      </w:r>
      <w:r w:rsidR="00A155E9">
        <w:rPr>
          <w:sz w:val="22"/>
          <w:szCs w:val="22"/>
        </w:rPr>
        <w:t>n</w:t>
      </w:r>
      <w:r w:rsidR="00D242A6">
        <w:rPr>
          <w:sz w:val="22"/>
          <w:szCs w:val="22"/>
        </w:rPr>
        <w:t xml:space="preserve"> UE features for </w:t>
      </w:r>
      <w:r w:rsidR="00B5256F">
        <w:rPr>
          <w:sz w:val="22"/>
          <w:szCs w:val="22"/>
        </w:rPr>
        <w:t xml:space="preserve">Rel18 </w:t>
      </w:r>
      <w:r w:rsidR="00D242A6">
        <w:rPr>
          <w:sz w:val="22"/>
          <w:szCs w:val="22"/>
        </w:rPr>
        <w:t>MIMO</w:t>
      </w:r>
    </w:p>
    <w:p w14:paraId="6018F3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D242A6">
        <w:rPr>
          <w:sz w:val="22"/>
          <w:szCs w:val="22"/>
        </w:rPr>
        <w:t>Discussion, Decision</w:t>
      </w:r>
    </w:p>
    <w:p w14:paraId="38461324" w14:textId="77777777" w:rsidR="00E90E49" w:rsidRPr="00CE0424" w:rsidRDefault="00E90E49" w:rsidP="00E90E49"/>
    <w:p w14:paraId="73592EC2" w14:textId="77777777" w:rsidR="00E90E49" w:rsidRPr="00CE0424" w:rsidRDefault="00230D18" w:rsidP="00CE0424">
      <w:pPr>
        <w:pStyle w:val="Heading1"/>
      </w:pPr>
      <w:r>
        <w:t>1</w:t>
      </w:r>
      <w:r>
        <w:tab/>
      </w:r>
      <w:r w:rsidR="00E90E49" w:rsidRPr="00CE0424">
        <w:t>Introduction</w:t>
      </w:r>
    </w:p>
    <w:p w14:paraId="3F63AAC8" w14:textId="350724CD" w:rsidR="00477768" w:rsidRPr="00CE0424" w:rsidRDefault="00D83542" w:rsidP="00CE0424">
      <w:pPr>
        <w:pStyle w:val="BodyText"/>
      </w:pPr>
      <w:r>
        <w:t xml:space="preserve">In this contribution, we discuss the UE features for </w:t>
      </w:r>
      <w:r w:rsidR="003D6FA1">
        <w:t xml:space="preserve">Rel18 </w:t>
      </w:r>
      <w:r>
        <w:t>MIMO.</w:t>
      </w:r>
      <w:r w:rsidR="00523CBA">
        <w:t xml:space="preserve"> We also </w:t>
      </w:r>
      <w:r w:rsidR="00E87DA2">
        <w:t>recall</w:t>
      </w:r>
      <w:r w:rsidR="00523CBA">
        <w:t xml:space="preserve"> the RAN2 </w:t>
      </w:r>
      <w:r w:rsidR="00E87DA2">
        <w:t>LS “G</w:t>
      </w:r>
      <w:r w:rsidR="00523CBA">
        <w:t>uidelines on UE capability definitions</w:t>
      </w:r>
      <w:r w:rsidR="00E87DA2">
        <w:t>”</w:t>
      </w:r>
      <w:r w:rsidR="00523CBA">
        <w:t xml:space="preserve"> in section 3</w:t>
      </w:r>
      <w:r w:rsidR="00474EC7">
        <w:t xml:space="preserve"> to raise RAN1 attention on the expectation from RAN2.</w:t>
      </w:r>
    </w:p>
    <w:p w14:paraId="33674F45" w14:textId="0D924823" w:rsidR="00E75172" w:rsidRPr="00E75172" w:rsidRDefault="00230D18" w:rsidP="0085768A">
      <w:pPr>
        <w:pStyle w:val="Heading1"/>
      </w:pPr>
      <w:bookmarkStart w:id="0" w:name="_Ref178064866"/>
      <w:r>
        <w:t>2</w:t>
      </w:r>
      <w:r>
        <w:tab/>
      </w:r>
      <w:r w:rsidR="004000E8" w:rsidRPr="00CE0424">
        <w:t>Discussion</w:t>
      </w:r>
      <w:bookmarkEnd w:id="0"/>
    </w:p>
    <w:p w14:paraId="0047B100" w14:textId="7D96D4C9" w:rsidR="008D6EDE" w:rsidRDefault="00230D18" w:rsidP="00994E1D">
      <w:pPr>
        <w:pStyle w:val="Heading2"/>
      </w:pPr>
      <w:r>
        <w:t>2.1</w:t>
      </w:r>
      <w:r w:rsidR="00994E1D">
        <w:tab/>
      </w:r>
      <w:proofErr w:type="gramStart"/>
      <w:r w:rsidR="008D6EDE">
        <w:t>Multi-TRP</w:t>
      </w:r>
      <w:proofErr w:type="gramEnd"/>
      <w:r w:rsidR="008D6EDE">
        <w:t xml:space="preserve"> enhancement</w:t>
      </w:r>
    </w:p>
    <w:p w14:paraId="7BD672F4" w14:textId="1A2B89D2" w:rsidR="00994E1D" w:rsidRDefault="008D6EDE" w:rsidP="008D6EDE">
      <w:pPr>
        <w:pStyle w:val="Heading3"/>
      </w:pPr>
      <w:r>
        <w:t>2.1.1 Unified TCI framework extension for multi-TRP</w:t>
      </w:r>
    </w:p>
    <w:p w14:paraId="7D758F1B" w14:textId="77777777" w:rsidR="005D3C28" w:rsidRDefault="00375A44" w:rsidP="005D3C28">
      <w:pPr>
        <w:pStyle w:val="BodyText"/>
        <w:rPr>
          <w:rFonts w:eastAsia="Malgun Gothic" w:cs="Arial"/>
          <w:szCs w:val="18"/>
          <w:lang w:eastAsia="ko-KR"/>
        </w:rPr>
      </w:pPr>
      <w:r>
        <w:t xml:space="preserve">Support of </w:t>
      </w:r>
      <w:proofErr w:type="spellStart"/>
      <w:r>
        <w:t>mTRP</w:t>
      </w:r>
      <w:proofErr w:type="spellEnd"/>
      <w:r>
        <w:t xml:space="preserve">, but </w:t>
      </w:r>
      <w:proofErr w:type="spellStart"/>
      <w:r>
        <w:t>mTRP</w:t>
      </w:r>
      <w:proofErr w:type="spellEnd"/>
      <w:r>
        <w:t xml:space="preserve"> features are separate – focus on how to convey the TCI states. A UE that would support for example </w:t>
      </w:r>
      <w:proofErr w:type="spellStart"/>
      <w:r>
        <w:t>sDCI</w:t>
      </w:r>
      <w:proofErr w:type="spellEnd"/>
      <w:r>
        <w:t xml:space="preserve"> NC-JT with the unified TCI framework would have to </w:t>
      </w:r>
      <w:proofErr w:type="gramStart"/>
      <w:r>
        <w:t>support</w:t>
      </w:r>
      <w:r w:rsidR="005D3C28">
        <w:t xml:space="preserve"> also</w:t>
      </w:r>
      <w:proofErr w:type="gramEnd"/>
      <w:r w:rsidR="005D3C28">
        <w:t xml:space="preserve"> FG </w:t>
      </w:r>
      <w:r w:rsidR="005D3C28" w:rsidRPr="001344E3">
        <w:rPr>
          <w:rFonts w:eastAsia="Malgun Gothic" w:cs="Arial"/>
          <w:szCs w:val="18"/>
          <w:lang w:eastAsia="ko-KR"/>
        </w:rPr>
        <w:t>16-2b-</w:t>
      </w:r>
      <w:r w:rsidR="005D3C28">
        <w:rPr>
          <w:rFonts w:eastAsia="Malgun Gothic" w:cs="Arial"/>
          <w:szCs w:val="18"/>
          <w:lang w:eastAsia="ko-KR"/>
        </w:rPr>
        <w:t>x. What would be specified here is the functionality related to how to convey the TCI states, which should be independent from the exact multi-TRP scheme to support.</w:t>
      </w:r>
    </w:p>
    <w:p w14:paraId="6A6E31B8" w14:textId="155A143A" w:rsidR="00F71E59" w:rsidRDefault="00F71E59" w:rsidP="005D3C28">
      <w:pPr>
        <w:pStyle w:val="BodyText"/>
        <w:rPr>
          <w:rFonts w:eastAsia="Malgun Gothic" w:cs="Arial"/>
          <w:szCs w:val="18"/>
          <w:lang w:eastAsia="ko-KR"/>
        </w:rPr>
      </w:pPr>
      <w:r>
        <w:rPr>
          <w:rFonts w:eastAsia="Malgun Gothic" w:cs="Arial"/>
          <w:szCs w:val="18"/>
          <w:lang w:eastAsia="ko-KR"/>
        </w:rPr>
        <w:t xml:space="preserve">The features related to TCI states are </w:t>
      </w:r>
      <w:r w:rsidR="00343AE6">
        <w:rPr>
          <w:rFonts w:eastAsia="Malgun Gothic" w:cs="Arial"/>
          <w:szCs w:val="18"/>
          <w:lang w:eastAsia="ko-KR"/>
        </w:rPr>
        <w:t xml:space="preserve">typically provided per band, or per UE. This follows the RAN2 guidance in </w:t>
      </w:r>
      <w:r w:rsidR="00343AE6">
        <w:rPr>
          <w:rFonts w:eastAsia="Malgun Gothic" w:cs="Arial"/>
          <w:szCs w:val="18"/>
          <w:lang w:eastAsia="ko-KR"/>
        </w:rPr>
        <w:fldChar w:fldCharType="begin"/>
      </w:r>
      <w:r w:rsidR="00343AE6">
        <w:rPr>
          <w:rFonts w:eastAsia="Malgun Gothic" w:cs="Arial"/>
          <w:szCs w:val="18"/>
          <w:lang w:eastAsia="ko-KR"/>
        </w:rPr>
        <w:instrText xml:space="preserve"> REF _Ref134870132 \r \h </w:instrText>
      </w:r>
      <w:r w:rsidR="00343AE6">
        <w:rPr>
          <w:rFonts w:eastAsia="Malgun Gothic" w:cs="Arial"/>
          <w:szCs w:val="18"/>
          <w:lang w:eastAsia="ko-KR"/>
        </w:rPr>
      </w:r>
      <w:r w:rsidR="00343AE6">
        <w:rPr>
          <w:rFonts w:eastAsia="Malgun Gothic" w:cs="Arial"/>
          <w:szCs w:val="18"/>
          <w:lang w:eastAsia="ko-KR"/>
        </w:rPr>
        <w:fldChar w:fldCharType="separate"/>
      </w:r>
      <w:r w:rsidR="00343AE6">
        <w:rPr>
          <w:rFonts w:eastAsia="Malgun Gothic" w:cs="Arial"/>
          <w:szCs w:val="18"/>
          <w:lang w:eastAsia="ko-KR"/>
        </w:rPr>
        <w:t>[1]</w:t>
      </w:r>
      <w:r w:rsidR="00343AE6">
        <w:rPr>
          <w:rFonts w:eastAsia="Malgun Gothic" w:cs="Arial"/>
          <w:szCs w:val="18"/>
          <w:lang w:eastAsia="ko-KR"/>
        </w:rPr>
        <w:fldChar w:fldCharType="end"/>
      </w:r>
      <w:r w:rsidR="00343AE6">
        <w:rPr>
          <w:rFonts w:eastAsia="Malgun Gothic" w:cs="Arial"/>
          <w:szCs w:val="18"/>
          <w:lang w:eastAsia="ko-KR"/>
        </w:rPr>
        <w:t>. We propose to reuse this for the features related to the multi-TRP extension of the unified TCI framework:</w:t>
      </w:r>
    </w:p>
    <w:p w14:paraId="30033CBB" w14:textId="18F2BF9A" w:rsidR="00343AE6" w:rsidRDefault="00343AE6" w:rsidP="005C33B0">
      <w:pPr>
        <w:pStyle w:val="Proposal"/>
      </w:pPr>
      <w:bookmarkStart w:id="1" w:name="_Toc135039471"/>
      <w:r>
        <w:t xml:space="preserve">The UE features related to </w:t>
      </w:r>
      <w:r>
        <w:rPr>
          <w:lang w:eastAsia="ko-KR"/>
        </w:rPr>
        <w:t>the multi-TRP extension of the unified TCI framework are provided per band.</w:t>
      </w:r>
      <w:bookmarkEnd w:id="1"/>
    </w:p>
    <w:p w14:paraId="6477FC73" w14:textId="5B583F6F" w:rsidR="005D3C28" w:rsidRDefault="005D3C28" w:rsidP="005D3C28">
      <w:pPr>
        <w:pStyle w:val="BodyText"/>
        <w:rPr>
          <w:rFonts w:eastAsia="Malgun Gothic" w:cs="Arial"/>
          <w:szCs w:val="18"/>
          <w:lang w:eastAsia="ko-KR"/>
        </w:rPr>
      </w:pPr>
      <w:r>
        <w:rPr>
          <w:rFonts w:eastAsia="Malgun Gothic" w:cs="Arial"/>
          <w:szCs w:val="18"/>
          <w:lang w:eastAsia="ko-KR"/>
        </w:rPr>
        <w:t>We propose to start from the UE features specified for the unified TCI framework in Rel-17</w:t>
      </w:r>
      <w:r w:rsidR="003C445C">
        <w:rPr>
          <w:rFonts w:eastAsia="Malgun Gothic" w:cs="Arial"/>
          <w:szCs w:val="18"/>
          <w:lang w:eastAsia="ko-KR"/>
        </w:rPr>
        <w:t xml:space="preserve"> </w:t>
      </w:r>
      <w:r w:rsidR="003C445C">
        <w:rPr>
          <w:rFonts w:eastAsia="Malgun Gothic" w:cs="Arial"/>
          <w:szCs w:val="18"/>
          <w:lang w:eastAsia="ko-KR"/>
        </w:rPr>
        <w:fldChar w:fldCharType="begin"/>
      </w:r>
      <w:r w:rsidR="003C445C">
        <w:rPr>
          <w:rFonts w:eastAsia="Malgun Gothic" w:cs="Arial"/>
          <w:szCs w:val="18"/>
          <w:lang w:eastAsia="ko-KR"/>
        </w:rPr>
        <w:instrText xml:space="preserve"> REF _Ref134804170 \r \h </w:instrText>
      </w:r>
      <w:r w:rsidR="003C445C">
        <w:rPr>
          <w:rFonts w:eastAsia="Malgun Gothic" w:cs="Arial"/>
          <w:szCs w:val="18"/>
          <w:lang w:eastAsia="ko-KR"/>
        </w:rPr>
      </w:r>
      <w:r w:rsidR="003C445C">
        <w:rPr>
          <w:rFonts w:eastAsia="Malgun Gothic" w:cs="Arial"/>
          <w:szCs w:val="18"/>
          <w:lang w:eastAsia="ko-KR"/>
        </w:rPr>
        <w:fldChar w:fldCharType="separate"/>
      </w:r>
      <w:r w:rsidR="003C445C">
        <w:rPr>
          <w:rFonts w:eastAsia="Malgun Gothic" w:cs="Arial"/>
          <w:szCs w:val="18"/>
          <w:lang w:eastAsia="ko-KR"/>
        </w:rPr>
        <w:t>[2]</w:t>
      </w:r>
      <w:r w:rsidR="003C445C">
        <w:rPr>
          <w:rFonts w:eastAsia="Malgun Gothic" w:cs="Arial"/>
          <w:szCs w:val="18"/>
          <w:lang w:eastAsia="ko-KR"/>
        </w:rPr>
        <w:fldChar w:fldCharType="end"/>
      </w:r>
      <w:r>
        <w:rPr>
          <w:rFonts w:eastAsia="Malgun Gothic" w:cs="Arial"/>
          <w:szCs w:val="18"/>
          <w:lang w:eastAsia="ko-KR"/>
        </w:rPr>
        <w:t>. On high level, the same structure could be used:</w:t>
      </w:r>
    </w:p>
    <w:p w14:paraId="14DB7791" w14:textId="3AD4A0F1" w:rsidR="005D3C28" w:rsidRDefault="004A134D" w:rsidP="005D3C28">
      <w:pPr>
        <w:pStyle w:val="ListBullet"/>
      </w:pPr>
      <w:r>
        <w:t xml:space="preserve">Unified TCI with </w:t>
      </w:r>
      <w:r w:rsidR="005D3C28">
        <w:t xml:space="preserve">joint TCI state, </w:t>
      </w:r>
      <w:r>
        <w:t xml:space="preserve">MAC CE activation only, </w:t>
      </w:r>
      <w:r w:rsidR="005D3C28">
        <w:t>intra-cell operation</w:t>
      </w:r>
      <w:r>
        <w:t xml:space="preserve"> (23-1-1)</w:t>
      </w:r>
    </w:p>
    <w:p w14:paraId="5C14726D" w14:textId="693281C4" w:rsidR="005D3C28" w:rsidRDefault="00836923" w:rsidP="00836923">
      <w:pPr>
        <w:pStyle w:val="ListBullet"/>
        <w:numPr>
          <w:ilvl w:val="1"/>
          <w:numId w:val="6"/>
        </w:numPr>
      </w:pPr>
      <w:r>
        <w:t xml:space="preserve">More than one </w:t>
      </w:r>
      <w:r w:rsidR="005D3C28">
        <w:t xml:space="preserve">activated joint TCI state, </w:t>
      </w:r>
      <w:proofErr w:type="spellStart"/>
      <w:r>
        <w:t>intra+</w:t>
      </w:r>
      <w:r w:rsidR="005D3C28">
        <w:t>inter-cell</w:t>
      </w:r>
      <w:proofErr w:type="spellEnd"/>
      <w:r w:rsidR="005D3C28">
        <w:t xml:space="preserve"> operation</w:t>
      </w:r>
      <w:r w:rsidR="004A134D">
        <w:t xml:space="preserve"> (23-1-1a)</w:t>
      </w:r>
    </w:p>
    <w:p w14:paraId="5E9CE750" w14:textId="5CD8B03B" w:rsidR="00836923" w:rsidRDefault="00836923" w:rsidP="00836923">
      <w:pPr>
        <w:pStyle w:val="ListBullet"/>
        <w:numPr>
          <w:ilvl w:val="1"/>
          <w:numId w:val="6"/>
        </w:numPr>
      </w:pPr>
      <w:r>
        <w:t>Mo</w:t>
      </w:r>
      <w:r w:rsidR="004A134D">
        <w:t>r</w:t>
      </w:r>
      <w:r>
        <w:t xml:space="preserve">e than one activated joint TCI state, </w:t>
      </w:r>
      <w:proofErr w:type="spellStart"/>
      <w:r>
        <w:t>intra+inter-cell</w:t>
      </w:r>
      <w:proofErr w:type="spellEnd"/>
      <w:r>
        <w:t xml:space="preserve"> operation, DCI indication</w:t>
      </w:r>
      <w:r w:rsidR="004A134D">
        <w:t xml:space="preserve"> (23-1-1b)</w:t>
      </w:r>
    </w:p>
    <w:p w14:paraId="64915643" w14:textId="7D400770" w:rsidR="004A134D" w:rsidRDefault="004A134D" w:rsidP="004A134D">
      <w:pPr>
        <w:pStyle w:val="ListBullet"/>
      </w:pPr>
      <w:r>
        <w:t xml:space="preserve">CC pools, common CC update for joint TCI states </w:t>
      </w:r>
      <w:r w:rsidR="00D33BCD">
        <w:t>(23-1-1d, 23-1-1e, 23-1-1f, 23-1-1k)</w:t>
      </w:r>
    </w:p>
    <w:p w14:paraId="2162ECDB" w14:textId="701130CF" w:rsidR="004A134D" w:rsidRDefault="004A134D" w:rsidP="004A134D">
      <w:pPr>
        <w:pStyle w:val="ListBullet"/>
      </w:pPr>
      <w:r>
        <w:t>Unified TCI with separate DL/UL TCI state, MAC CE activation only, intra-cell operation (23-10-1)</w:t>
      </w:r>
    </w:p>
    <w:p w14:paraId="7EC44EB7" w14:textId="6A524DCE" w:rsidR="004A134D" w:rsidRDefault="004A134D" w:rsidP="004A134D">
      <w:pPr>
        <w:pStyle w:val="ListBullet"/>
        <w:numPr>
          <w:ilvl w:val="1"/>
          <w:numId w:val="6"/>
        </w:numPr>
      </w:pPr>
      <w:r>
        <w:t xml:space="preserve">More than one activated DL and UL TCI state, </w:t>
      </w:r>
      <w:proofErr w:type="spellStart"/>
      <w:r>
        <w:t>intra+inter-cell</w:t>
      </w:r>
      <w:proofErr w:type="spellEnd"/>
      <w:r>
        <w:t xml:space="preserve"> operation (23-10-1m)</w:t>
      </w:r>
    </w:p>
    <w:p w14:paraId="4C0CABE7" w14:textId="78BF8B65" w:rsidR="004A134D" w:rsidRDefault="004A134D" w:rsidP="004A134D">
      <w:pPr>
        <w:pStyle w:val="ListBullet"/>
        <w:numPr>
          <w:ilvl w:val="1"/>
          <w:numId w:val="6"/>
        </w:numPr>
      </w:pPr>
      <w:r>
        <w:t xml:space="preserve">More than one activated DL and UL TCI state, </w:t>
      </w:r>
      <w:proofErr w:type="spellStart"/>
      <w:r>
        <w:t>intra+inter-cell</w:t>
      </w:r>
      <w:proofErr w:type="spellEnd"/>
      <w:r>
        <w:t xml:space="preserve"> operation, DCI indication (23-10-1b)</w:t>
      </w:r>
    </w:p>
    <w:p w14:paraId="39C659B4" w14:textId="17F024BB" w:rsidR="00660097" w:rsidRDefault="004A134D" w:rsidP="00D33BCD">
      <w:pPr>
        <w:pStyle w:val="ListBullet"/>
      </w:pPr>
      <w:r>
        <w:t>CC pools, common CC update for separate DL/UL TCI states</w:t>
      </w:r>
      <w:r w:rsidR="00D33BCD">
        <w:t xml:space="preserve"> (23-10-1d, 23-10-1e, 23-10-1f)</w:t>
      </w:r>
    </w:p>
    <w:p w14:paraId="6B6DB270" w14:textId="119C71CC" w:rsidR="00BA78DC" w:rsidRDefault="00BA78DC" w:rsidP="00D33BCD">
      <w:pPr>
        <w:pStyle w:val="BodyText"/>
      </w:pPr>
      <w:r>
        <w:t xml:space="preserve">It should be possible to use these FGs as a blueprint to handle multiple indicated TCI states. Unfortunately, RAN1 has chosen to use different ways to convey TCI states for single-DCI and multi-DCI based multi-TRP. This would double the amount of required FGs. </w:t>
      </w:r>
    </w:p>
    <w:p w14:paraId="4D8FC450" w14:textId="738C884F" w:rsidR="00BA78DC" w:rsidRDefault="00BA78DC" w:rsidP="00BA78DC">
      <w:pPr>
        <w:pStyle w:val="BodyText"/>
      </w:pPr>
      <w:r>
        <w:lastRenderedPageBreak/>
        <w:t xml:space="preserve">Preferably, we could start with the FGs for joint TCI states: the addition of the corresponding FGs for separate TCI states could be added once the structure for joint TCI states has been settled. </w:t>
      </w:r>
    </w:p>
    <w:p w14:paraId="566CFEFA" w14:textId="5D7B26BC" w:rsidR="000D3D74" w:rsidRDefault="000D3D74" w:rsidP="00BA78DC">
      <w:pPr>
        <w:pStyle w:val="BodyText"/>
      </w:pPr>
      <w:r>
        <w:t>We will describe single-DCI (40-1-1x) and multi-DCI (40-1-2x) based operation separately. To simplify interpretation, corresponding FGs use the same letters</w:t>
      </w:r>
      <w:r w:rsidR="006140D6">
        <w:t xml:space="preserve">: </w:t>
      </w:r>
      <w:proofErr w:type="gramStart"/>
      <w:r w:rsidR="006140D6">
        <w:t>this is why</w:t>
      </w:r>
      <w:proofErr w:type="gramEnd"/>
      <w:r w:rsidR="006140D6">
        <w:t xml:space="preserve"> not all letters are used for single-DCI and multi-DCI: for example, 40-1-1</w:t>
      </w:r>
      <w:r w:rsidR="00C81146">
        <w:t>f</w:t>
      </w:r>
      <w:r w:rsidR="006140D6">
        <w:t xml:space="preserve"> exists, but not 40-2-1</w:t>
      </w:r>
      <w:r w:rsidR="00C81146">
        <w:t>f</w:t>
      </w:r>
      <w:r w:rsidR="006140D6">
        <w:t xml:space="preserve">, since </w:t>
      </w:r>
      <w:r w:rsidR="00C81146">
        <w:t>CJT is only supported for single-DCI.</w:t>
      </w:r>
      <w:r w:rsidR="006140D6">
        <w:t xml:space="preserve"> </w:t>
      </w:r>
    </w:p>
    <w:p w14:paraId="7F0549C0" w14:textId="24BC4C79" w:rsidR="00D53040" w:rsidRDefault="00E02F4F" w:rsidP="00E02F4F">
      <w:pPr>
        <w:pStyle w:val="Heading4"/>
      </w:pPr>
      <w:r>
        <w:t>2.1.1.1</w:t>
      </w:r>
      <w:r w:rsidRPr="00E02F4F">
        <w:t xml:space="preserve"> </w:t>
      </w:r>
      <w:r>
        <w:tab/>
        <w:t xml:space="preserve">Proposed feature groups for </w:t>
      </w:r>
      <w:r w:rsidR="00D53040">
        <w:t>single</w:t>
      </w:r>
      <w:r>
        <w:t>-DCI and joint TCI states</w:t>
      </w:r>
    </w:p>
    <w:p w14:paraId="1A91AD9A" w14:textId="77777777" w:rsidR="00D53040" w:rsidRPr="00D53040" w:rsidRDefault="00D53040" w:rsidP="00D53040"/>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1"/>
        <w:gridCol w:w="1864"/>
        <w:gridCol w:w="5017"/>
        <w:gridCol w:w="1842"/>
      </w:tblGrid>
      <w:tr w:rsidR="00363273" w:rsidRPr="001344E3" w14:paraId="7ADCAF65" w14:textId="77777777" w:rsidTr="00363273">
        <w:trPr>
          <w:trHeight w:val="20"/>
        </w:trPr>
        <w:tc>
          <w:tcPr>
            <w:tcW w:w="911" w:type="dxa"/>
            <w:tcBorders>
              <w:top w:val="single" w:sz="4" w:space="0" w:color="auto"/>
              <w:left w:val="single" w:sz="4" w:space="0" w:color="auto"/>
              <w:bottom w:val="single" w:sz="4" w:space="0" w:color="auto"/>
              <w:right w:val="single" w:sz="4" w:space="0" w:color="auto"/>
            </w:tcBorders>
            <w:hideMark/>
          </w:tcPr>
          <w:p w14:paraId="429F274E" w14:textId="77777777" w:rsidR="00363273" w:rsidRPr="001344E3" w:rsidRDefault="00363273">
            <w:pPr>
              <w:pStyle w:val="TAH"/>
            </w:pPr>
            <w:r w:rsidRPr="001344E3">
              <w:t>Index</w:t>
            </w:r>
          </w:p>
        </w:tc>
        <w:tc>
          <w:tcPr>
            <w:tcW w:w="1864" w:type="dxa"/>
            <w:tcBorders>
              <w:top w:val="single" w:sz="4" w:space="0" w:color="auto"/>
              <w:left w:val="single" w:sz="4" w:space="0" w:color="auto"/>
              <w:bottom w:val="single" w:sz="4" w:space="0" w:color="auto"/>
              <w:right w:val="single" w:sz="4" w:space="0" w:color="auto"/>
            </w:tcBorders>
            <w:hideMark/>
          </w:tcPr>
          <w:p w14:paraId="6EB3BBD7" w14:textId="77777777" w:rsidR="00363273" w:rsidRPr="001344E3" w:rsidRDefault="00363273">
            <w:pPr>
              <w:pStyle w:val="TAH"/>
            </w:pPr>
            <w:r w:rsidRPr="001344E3">
              <w:t>Feature group</w:t>
            </w:r>
          </w:p>
        </w:tc>
        <w:tc>
          <w:tcPr>
            <w:tcW w:w="5017" w:type="dxa"/>
            <w:tcBorders>
              <w:top w:val="single" w:sz="4" w:space="0" w:color="auto"/>
              <w:left w:val="single" w:sz="4" w:space="0" w:color="auto"/>
              <w:bottom w:val="single" w:sz="4" w:space="0" w:color="auto"/>
              <w:right w:val="single" w:sz="4" w:space="0" w:color="auto"/>
            </w:tcBorders>
            <w:hideMark/>
          </w:tcPr>
          <w:p w14:paraId="003A2584" w14:textId="77777777" w:rsidR="00363273" w:rsidRPr="001344E3" w:rsidRDefault="00363273">
            <w:pPr>
              <w:pStyle w:val="TAH"/>
            </w:pPr>
            <w:r w:rsidRPr="001344E3">
              <w:t>Components</w:t>
            </w:r>
          </w:p>
        </w:tc>
        <w:tc>
          <w:tcPr>
            <w:tcW w:w="1842" w:type="dxa"/>
            <w:tcBorders>
              <w:top w:val="single" w:sz="4" w:space="0" w:color="auto"/>
              <w:left w:val="single" w:sz="4" w:space="0" w:color="auto"/>
              <w:bottom w:val="single" w:sz="4" w:space="0" w:color="auto"/>
              <w:right w:val="single" w:sz="4" w:space="0" w:color="auto"/>
            </w:tcBorders>
          </w:tcPr>
          <w:p w14:paraId="51BDD68D" w14:textId="77777777" w:rsidR="00363273" w:rsidRPr="00996004" w:rsidRDefault="00363273">
            <w:pPr>
              <w:pStyle w:val="TAH"/>
              <w:rPr>
                <w:lang w:val="en-US"/>
              </w:rPr>
            </w:pPr>
            <w:r>
              <w:rPr>
                <w:lang w:val="en-US"/>
              </w:rPr>
              <w:t>Note</w:t>
            </w:r>
          </w:p>
        </w:tc>
      </w:tr>
      <w:tr w:rsidR="00363273" w:rsidRPr="001344E3" w14:paraId="184D5635" w14:textId="77777777" w:rsidTr="00363273">
        <w:trPr>
          <w:trHeight w:val="20"/>
        </w:trPr>
        <w:tc>
          <w:tcPr>
            <w:tcW w:w="911" w:type="dxa"/>
            <w:tcBorders>
              <w:top w:val="single" w:sz="4" w:space="0" w:color="auto"/>
              <w:left w:val="single" w:sz="4" w:space="0" w:color="auto"/>
              <w:bottom w:val="single" w:sz="4" w:space="0" w:color="auto"/>
              <w:right w:val="single" w:sz="4" w:space="0" w:color="auto"/>
            </w:tcBorders>
            <w:shd w:val="clear" w:color="auto" w:fill="auto"/>
            <w:hideMark/>
          </w:tcPr>
          <w:p w14:paraId="155F35CA" w14:textId="171CE1F1" w:rsidR="00363273" w:rsidRPr="00256EDD" w:rsidRDefault="00363273">
            <w:pPr>
              <w:pStyle w:val="TAL"/>
              <w:rPr>
                <w:rFonts w:cs="Arial"/>
                <w:szCs w:val="18"/>
                <w:lang w:val="en-US"/>
              </w:rPr>
            </w:pPr>
            <w:r>
              <w:rPr>
                <w:rFonts w:cs="Arial"/>
                <w:szCs w:val="18"/>
                <w:lang w:val="en-US"/>
              </w:rPr>
              <w:t>40-1-1</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009F39B7" w14:textId="35FCB166" w:rsidR="00363273" w:rsidRPr="00DD623C" w:rsidRDefault="00363273">
            <w:pPr>
              <w:pStyle w:val="TAL"/>
              <w:rPr>
                <w:rFonts w:cs="Arial"/>
                <w:szCs w:val="18"/>
                <w:lang w:val="en-US" w:eastAsia="zh-CN"/>
              </w:rPr>
            </w:pPr>
            <w:r w:rsidRPr="001344E3">
              <w:rPr>
                <w:rFonts w:cs="Arial"/>
                <w:szCs w:val="18"/>
                <w:lang w:eastAsia="zh-CN"/>
              </w:rPr>
              <w:t xml:space="preserve">Unified TCI with joint DL/UL TCI update for </w:t>
            </w:r>
            <w:r>
              <w:rPr>
                <w:rFonts w:cs="Arial"/>
                <w:szCs w:val="18"/>
                <w:lang w:val="en-US" w:eastAsia="zh-CN"/>
              </w:rPr>
              <w:t>single-DCI based multi-TRP operation</w:t>
            </w:r>
          </w:p>
        </w:tc>
        <w:tc>
          <w:tcPr>
            <w:tcW w:w="5017" w:type="dxa"/>
            <w:tcBorders>
              <w:top w:val="single" w:sz="4" w:space="0" w:color="auto"/>
              <w:left w:val="single" w:sz="4" w:space="0" w:color="auto"/>
              <w:bottom w:val="single" w:sz="4" w:space="0" w:color="auto"/>
              <w:right w:val="single" w:sz="4" w:space="0" w:color="auto"/>
            </w:tcBorders>
            <w:shd w:val="clear" w:color="auto" w:fill="auto"/>
          </w:tcPr>
          <w:p w14:paraId="7775BED9" w14:textId="2DF46CE3" w:rsidR="00363273" w:rsidRPr="001344E3" w:rsidRDefault="00363273">
            <w:pPr>
              <w:pStyle w:val="TAL"/>
            </w:pPr>
            <w:r w:rsidRPr="001344E3">
              <w:t xml:space="preserve">1. Joint DL/UL TCI </w:t>
            </w:r>
            <w:r>
              <w:rPr>
                <w:lang w:val="en-US"/>
              </w:rPr>
              <w:t xml:space="preserve">state </w:t>
            </w:r>
            <w:r w:rsidRPr="001344E3">
              <w:t>update with their components: (configuration mechanism, QCL rules, applicable source and target signals)</w:t>
            </w:r>
          </w:p>
          <w:p w14:paraId="7B2792D3" w14:textId="78291A15" w:rsidR="00363273" w:rsidRPr="001344E3" w:rsidRDefault="00363273">
            <w:pPr>
              <w:pStyle w:val="TAL"/>
            </w:pPr>
            <w:r>
              <w:rPr>
                <w:lang w:val="en-US"/>
              </w:rPr>
              <w:t>2</w:t>
            </w:r>
            <w:r w:rsidRPr="001344E3">
              <w:t xml:space="preserve">. </w:t>
            </w:r>
            <w:r>
              <w:rPr>
                <w:lang w:val="en-US"/>
              </w:rPr>
              <w:t>Two</w:t>
            </w:r>
            <w:r w:rsidRPr="001344E3">
              <w:t xml:space="preserve"> MAC-CE activated joint TCI </w:t>
            </w:r>
            <w:r>
              <w:rPr>
                <w:lang w:val="en-US"/>
              </w:rPr>
              <w:t xml:space="preserve">per </w:t>
            </w:r>
            <w:r w:rsidRPr="001344E3">
              <w:t>CC in a band</w:t>
            </w:r>
          </w:p>
          <w:p w14:paraId="3838A81B" w14:textId="77777777" w:rsidR="00363273" w:rsidRPr="001344E3" w:rsidRDefault="00363273">
            <w:pPr>
              <w:pStyle w:val="TAL"/>
            </w:pPr>
            <w:r>
              <w:rPr>
                <w:lang w:val="en-US"/>
              </w:rPr>
              <w:t>3</w:t>
            </w:r>
            <w:r w:rsidRPr="001344E3">
              <w:t>. The maximum number of configured joint TCI states per BWP per CC in a band</w:t>
            </w:r>
          </w:p>
          <w:p w14:paraId="7095EC99" w14:textId="0F3EB547" w:rsidR="00363273" w:rsidRPr="00E73C18" w:rsidRDefault="00363273">
            <w:pPr>
              <w:pStyle w:val="TAL"/>
              <w:rPr>
                <w:lang w:val="en-US"/>
              </w:rPr>
            </w:pPr>
            <w:r w:rsidRPr="001344E3">
              <w:t>4. TCI state indication for update and activation</w:t>
            </w:r>
            <w:r>
              <w:rPr>
                <w:lang w:val="en-US"/>
              </w:rPr>
              <w:t>:</w:t>
            </w:r>
            <w:r w:rsidRPr="001344E3">
              <w:rPr>
                <w:strike/>
              </w:rPr>
              <w:br/>
            </w:r>
            <w:r w:rsidRPr="001344E3">
              <w:t xml:space="preserve">a) MAC CE based TCI state indication for </w:t>
            </w:r>
            <w:r>
              <w:rPr>
                <w:lang w:val="en-US"/>
              </w:rPr>
              <w:t>two</w:t>
            </w:r>
            <w:r w:rsidRPr="001344E3">
              <w:t xml:space="preserve"> active TCI state</w:t>
            </w:r>
            <w:r>
              <w:rPr>
                <w:lang w:val="en-US"/>
              </w:rPr>
              <w:t xml:space="preserve"> </w:t>
            </w:r>
          </w:p>
          <w:p w14:paraId="42A28CCA" w14:textId="77777777" w:rsidR="00363273" w:rsidRPr="001344E3" w:rsidRDefault="00363273">
            <w:pPr>
              <w:pStyle w:val="TAL"/>
            </w:pPr>
            <w:r w:rsidRPr="001344E3">
              <w:t>5. The maximum number of MAC-CE activated joint TCI states across all CC(s) in a band</w:t>
            </w:r>
          </w:p>
          <w:p w14:paraId="70FFE7BD" w14:textId="77777777" w:rsidR="00363273" w:rsidRPr="001344E3" w:rsidRDefault="00363273">
            <w:pPr>
              <w:pStyle w:val="TAL"/>
            </w:pPr>
          </w:p>
        </w:tc>
        <w:tc>
          <w:tcPr>
            <w:tcW w:w="1842" w:type="dxa"/>
            <w:tcBorders>
              <w:top w:val="single" w:sz="4" w:space="0" w:color="auto"/>
              <w:left w:val="single" w:sz="4" w:space="0" w:color="auto"/>
              <w:bottom w:val="single" w:sz="4" w:space="0" w:color="auto"/>
              <w:right w:val="single" w:sz="4" w:space="0" w:color="auto"/>
            </w:tcBorders>
          </w:tcPr>
          <w:p w14:paraId="246A2D01" w14:textId="729BE8BB" w:rsidR="00363273" w:rsidRPr="00FE13E0" w:rsidRDefault="00FE13E0">
            <w:pPr>
              <w:pStyle w:val="TAL"/>
              <w:rPr>
                <w:lang w:val="en-US"/>
              </w:rPr>
            </w:pPr>
            <w:r>
              <w:rPr>
                <w:lang w:val="en-US"/>
              </w:rPr>
              <w:t>Note: this includes support for the configuration of {none, first, second, both} for the relevant channels</w:t>
            </w:r>
          </w:p>
        </w:tc>
      </w:tr>
      <w:tr w:rsidR="00363273" w:rsidRPr="001344E3" w14:paraId="795CAF5C" w14:textId="77777777" w:rsidTr="00363273">
        <w:trPr>
          <w:trHeight w:val="20"/>
        </w:trPr>
        <w:tc>
          <w:tcPr>
            <w:tcW w:w="911" w:type="dxa"/>
            <w:tcBorders>
              <w:top w:val="single" w:sz="4" w:space="0" w:color="auto"/>
              <w:left w:val="single" w:sz="4" w:space="0" w:color="auto"/>
              <w:bottom w:val="single" w:sz="4" w:space="0" w:color="auto"/>
              <w:right w:val="single" w:sz="4" w:space="0" w:color="auto"/>
            </w:tcBorders>
            <w:shd w:val="clear" w:color="auto" w:fill="auto"/>
          </w:tcPr>
          <w:p w14:paraId="7A83D636" w14:textId="7A98A57E" w:rsidR="00363273" w:rsidRPr="001344E3" w:rsidRDefault="00363273">
            <w:pPr>
              <w:pStyle w:val="TAL"/>
              <w:rPr>
                <w:rFonts w:cs="Arial"/>
                <w:szCs w:val="18"/>
              </w:rPr>
            </w:pPr>
            <w:r>
              <w:rPr>
                <w:rFonts w:cs="Arial"/>
                <w:szCs w:val="18"/>
                <w:lang w:val="en-US"/>
              </w:rPr>
              <w:t>40-1-1b</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2EBDD00D" w14:textId="3A2E5465" w:rsidR="00363273" w:rsidRPr="001344E3" w:rsidRDefault="00363273">
            <w:pPr>
              <w:pStyle w:val="TAL"/>
              <w:rPr>
                <w:rFonts w:cs="Arial"/>
                <w:szCs w:val="18"/>
                <w:lang w:eastAsia="zh-CN"/>
              </w:rPr>
            </w:pPr>
            <w:r w:rsidRPr="001344E3">
              <w:rPr>
                <w:rFonts w:cs="Arial"/>
                <w:szCs w:val="18"/>
                <w:lang w:eastAsia="zh-CN"/>
              </w:rPr>
              <w:t xml:space="preserve">Unified TCI with joint DL/UL </w:t>
            </w:r>
            <w:r>
              <w:rPr>
                <w:rFonts w:cs="Arial"/>
                <w:szCs w:val="18"/>
                <w:lang w:val="en-US" w:eastAsia="zh-CN"/>
              </w:rPr>
              <w:t xml:space="preserve">DCI-based </w:t>
            </w:r>
            <w:r w:rsidRPr="001344E3">
              <w:rPr>
                <w:rFonts w:cs="Arial"/>
                <w:szCs w:val="18"/>
                <w:lang w:eastAsia="zh-CN"/>
              </w:rPr>
              <w:t xml:space="preserve">TCI update for </w:t>
            </w:r>
            <w:r>
              <w:rPr>
                <w:rFonts w:cs="Arial"/>
                <w:szCs w:val="18"/>
                <w:lang w:val="en-US" w:eastAsia="zh-CN"/>
              </w:rPr>
              <w:t>single-DCI based multi-TRP operation</w:t>
            </w:r>
          </w:p>
        </w:tc>
        <w:tc>
          <w:tcPr>
            <w:tcW w:w="5017" w:type="dxa"/>
            <w:tcBorders>
              <w:top w:val="single" w:sz="4" w:space="0" w:color="auto"/>
              <w:left w:val="single" w:sz="4" w:space="0" w:color="auto"/>
              <w:bottom w:val="single" w:sz="4" w:space="0" w:color="auto"/>
              <w:right w:val="single" w:sz="4" w:space="0" w:color="auto"/>
            </w:tcBorders>
            <w:shd w:val="clear" w:color="auto" w:fill="auto"/>
          </w:tcPr>
          <w:p w14:paraId="42E35512" w14:textId="77777777" w:rsidR="00363273" w:rsidRPr="001344E3" w:rsidRDefault="00363273">
            <w:pPr>
              <w:pStyle w:val="TAL"/>
            </w:pPr>
            <w:r w:rsidRPr="001344E3">
              <w:t>1. TCI state indication for update and activation</w:t>
            </w:r>
            <w:r w:rsidRPr="001344E3">
              <w:br/>
              <w:t>b) MAC-CE+DCI-based TCI state indication (use of DCI formats 1_1/1_2 with DL assignment)</w:t>
            </w:r>
            <w:r w:rsidRPr="001344E3">
              <w:br/>
              <w:t>c) MAC-CE+DCI-based TCI state indication (use of DCI formats 1_1/1_2 without DL assignment)</w:t>
            </w:r>
          </w:p>
          <w:p w14:paraId="26435EEB" w14:textId="77777777" w:rsidR="00363273" w:rsidRPr="001344E3" w:rsidRDefault="00363273">
            <w:pPr>
              <w:pStyle w:val="TAL"/>
            </w:pPr>
            <w:r w:rsidRPr="001344E3">
              <w:t>2. The minimum beam application time in Y symbols per SCS</w:t>
            </w:r>
          </w:p>
          <w:p w14:paraId="019D2CE0" w14:textId="0612AE5E" w:rsidR="00363273" w:rsidRPr="001344E3" w:rsidRDefault="00363273">
            <w:pPr>
              <w:pStyle w:val="TAL"/>
            </w:pPr>
            <w:r w:rsidRPr="001344E3">
              <w:t>3. The maximum number of MAC-CE activated joint TCI states per CC in a band</w:t>
            </w:r>
          </w:p>
        </w:tc>
        <w:tc>
          <w:tcPr>
            <w:tcW w:w="1842" w:type="dxa"/>
            <w:tcBorders>
              <w:top w:val="single" w:sz="4" w:space="0" w:color="auto"/>
              <w:left w:val="single" w:sz="4" w:space="0" w:color="auto"/>
              <w:bottom w:val="single" w:sz="4" w:space="0" w:color="auto"/>
              <w:right w:val="single" w:sz="4" w:space="0" w:color="auto"/>
            </w:tcBorders>
          </w:tcPr>
          <w:p w14:paraId="05CF3624" w14:textId="77777777" w:rsidR="00363273" w:rsidRPr="001344E3" w:rsidRDefault="00363273">
            <w:pPr>
              <w:pStyle w:val="TAL"/>
            </w:pPr>
          </w:p>
        </w:tc>
      </w:tr>
      <w:tr w:rsidR="00363273" w:rsidRPr="001344E3" w14:paraId="3C5B7ABF" w14:textId="77777777" w:rsidTr="00363273">
        <w:trPr>
          <w:trHeight w:val="20"/>
        </w:trPr>
        <w:tc>
          <w:tcPr>
            <w:tcW w:w="911" w:type="dxa"/>
            <w:tcBorders>
              <w:top w:val="single" w:sz="4" w:space="0" w:color="auto"/>
              <w:left w:val="single" w:sz="4" w:space="0" w:color="auto"/>
              <w:bottom w:val="single" w:sz="4" w:space="0" w:color="auto"/>
              <w:right w:val="single" w:sz="4" w:space="0" w:color="auto"/>
            </w:tcBorders>
            <w:shd w:val="clear" w:color="auto" w:fill="auto"/>
          </w:tcPr>
          <w:p w14:paraId="33AA110B" w14:textId="419DBE22" w:rsidR="00363273" w:rsidRPr="001344E3" w:rsidRDefault="00363273">
            <w:pPr>
              <w:pStyle w:val="TAL"/>
              <w:rPr>
                <w:rFonts w:cs="Arial"/>
                <w:szCs w:val="18"/>
              </w:rPr>
            </w:pPr>
            <w:r>
              <w:rPr>
                <w:rFonts w:cs="Arial"/>
                <w:szCs w:val="18"/>
                <w:lang w:val="en-US"/>
              </w:rPr>
              <w:t>40-1-1c</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1E5CA68B" w14:textId="1178C031" w:rsidR="00363273" w:rsidRPr="00F9451C" w:rsidRDefault="00363273">
            <w:pPr>
              <w:pStyle w:val="TAL"/>
              <w:rPr>
                <w:rFonts w:cs="Arial"/>
                <w:szCs w:val="18"/>
                <w:lang w:val="en-US" w:eastAsia="zh-CN"/>
              </w:rPr>
            </w:pPr>
            <w:r w:rsidRPr="001344E3">
              <w:rPr>
                <w:rFonts w:cs="Arial"/>
                <w:szCs w:val="18"/>
                <w:lang w:eastAsia="zh-CN"/>
              </w:rPr>
              <w:t>Maximum number of configured CC lists</w:t>
            </w:r>
            <w:r>
              <w:rPr>
                <w:rFonts w:cs="Arial"/>
                <w:szCs w:val="18"/>
                <w:lang w:val="en-US" w:eastAsia="zh-CN"/>
              </w:rPr>
              <w:t xml:space="preserve"> for </w:t>
            </w:r>
            <w:r w:rsidRPr="001344E3">
              <w:rPr>
                <w:rFonts w:cs="Arial"/>
                <w:szCs w:val="18"/>
                <w:lang w:eastAsia="zh-CN"/>
              </w:rPr>
              <w:t>joint DL/UL TCI update</w:t>
            </w:r>
            <w:r>
              <w:rPr>
                <w:rFonts w:cs="Arial"/>
                <w:szCs w:val="18"/>
                <w:lang w:val="en-US" w:eastAsia="zh-CN"/>
              </w:rPr>
              <w:t xml:space="preserve"> for single-DCI based multi-TRP operation. </w:t>
            </w:r>
          </w:p>
        </w:tc>
        <w:tc>
          <w:tcPr>
            <w:tcW w:w="5017" w:type="dxa"/>
            <w:tcBorders>
              <w:top w:val="single" w:sz="4" w:space="0" w:color="auto"/>
              <w:left w:val="single" w:sz="4" w:space="0" w:color="auto"/>
              <w:bottom w:val="single" w:sz="4" w:space="0" w:color="auto"/>
              <w:right w:val="single" w:sz="4" w:space="0" w:color="auto"/>
            </w:tcBorders>
            <w:shd w:val="clear" w:color="auto" w:fill="auto"/>
          </w:tcPr>
          <w:p w14:paraId="636DEA47" w14:textId="77777777" w:rsidR="00363273" w:rsidRPr="00996004" w:rsidRDefault="00363273">
            <w:pPr>
              <w:pStyle w:val="TAL"/>
              <w:rPr>
                <w:lang w:val="en-US"/>
              </w:rPr>
            </w:pPr>
            <w:r w:rsidRPr="001344E3">
              <w:t>Maximum number of configured CC lists per cell group for common multi-CC TCI state ID update and activation</w:t>
            </w:r>
          </w:p>
        </w:tc>
        <w:tc>
          <w:tcPr>
            <w:tcW w:w="1842" w:type="dxa"/>
            <w:tcBorders>
              <w:top w:val="single" w:sz="4" w:space="0" w:color="auto"/>
              <w:left w:val="single" w:sz="4" w:space="0" w:color="auto"/>
              <w:bottom w:val="single" w:sz="4" w:space="0" w:color="auto"/>
              <w:right w:val="single" w:sz="4" w:space="0" w:color="auto"/>
            </w:tcBorders>
          </w:tcPr>
          <w:p w14:paraId="0AC18016" w14:textId="77777777" w:rsidR="00363273" w:rsidRPr="00996004" w:rsidRDefault="00363273">
            <w:pPr>
              <w:pStyle w:val="TAL"/>
              <w:rPr>
                <w:lang w:val="en-US"/>
              </w:rPr>
            </w:pPr>
            <w:r>
              <w:rPr>
                <w:lang w:val="en-US"/>
              </w:rPr>
              <w:t>If the UE does not report this FG, common multi-CC TCI state update is not supported</w:t>
            </w:r>
          </w:p>
        </w:tc>
      </w:tr>
      <w:tr w:rsidR="00363273" w:rsidRPr="001344E3" w14:paraId="7F3EDD95" w14:textId="77777777" w:rsidTr="00363273">
        <w:trPr>
          <w:trHeight w:val="20"/>
        </w:trPr>
        <w:tc>
          <w:tcPr>
            <w:tcW w:w="911" w:type="dxa"/>
            <w:tcBorders>
              <w:top w:val="single" w:sz="4" w:space="0" w:color="auto"/>
              <w:left w:val="single" w:sz="4" w:space="0" w:color="auto"/>
              <w:bottom w:val="single" w:sz="4" w:space="0" w:color="auto"/>
              <w:right w:val="single" w:sz="4" w:space="0" w:color="auto"/>
            </w:tcBorders>
            <w:shd w:val="clear" w:color="auto" w:fill="auto"/>
          </w:tcPr>
          <w:p w14:paraId="03A5C8F0" w14:textId="3806C524" w:rsidR="00363273" w:rsidRDefault="00363273">
            <w:pPr>
              <w:pStyle w:val="TAL"/>
              <w:rPr>
                <w:rFonts w:cs="Arial"/>
                <w:szCs w:val="18"/>
                <w:lang w:val="en-US"/>
              </w:rPr>
            </w:pPr>
            <w:r>
              <w:rPr>
                <w:rFonts w:cs="Arial"/>
                <w:szCs w:val="18"/>
                <w:lang w:val="en-US"/>
              </w:rPr>
              <w:t>40-1-1d</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0A1A5464" w14:textId="2703E051" w:rsidR="00363273" w:rsidRPr="002C064E" w:rsidRDefault="002C064E">
            <w:pPr>
              <w:pStyle w:val="TAL"/>
              <w:rPr>
                <w:rFonts w:cs="Arial"/>
                <w:szCs w:val="18"/>
                <w:lang w:val="en-US" w:eastAsia="zh-CN"/>
              </w:rPr>
            </w:pPr>
            <w:r>
              <w:rPr>
                <w:lang w:val="en-US"/>
              </w:rPr>
              <w:t>Time to perform DCI-based switching between single-TRP and multi-TRP</w:t>
            </w:r>
            <w:r w:rsidR="007854FF">
              <w:rPr>
                <w:lang w:val="en-US"/>
              </w:rPr>
              <w:t xml:space="preserve"> PDSCH reception</w:t>
            </w:r>
          </w:p>
        </w:tc>
        <w:tc>
          <w:tcPr>
            <w:tcW w:w="5017" w:type="dxa"/>
            <w:tcBorders>
              <w:top w:val="single" w:sz="4" w:space="0" w:color="auto"/>
              <w:left w:val="single" w:sz="4" w:space="0" w:color="auto"/>
              <w:bottom w:val="single" w:sz="4" w:space="0" w:color="auto"/>
              <w:right w:val="single" w:sz="4" w:space="0" w:color="auto"/>
            </w:tcBorders>
            <w:shd w:val="clear" w:color="auto" w:fill="auto"/>
          </w:tcPr>
          <w:p w14:paraId="7F46578D" w14:textId="5D25F3E6" w:rsidR="006A42BC" w:rsidRPr="001344E3" w:rsidRDefault="006A42BC" w:rsidP="006A42BC">
            <w:pPr>
              <w:pStyle w:val="TAL"/>
            </w:pPr>
            <w:r w:rsidRPr="001344E3">
              <w:t>Time duration (definition follows clause 5.1.5 in TS 38.214), Xi, to determine and apply spatial QCL information for corresponding PDSCH reception.</w:t>
            </w:r>
          </w:p>
          <w:p w14:paraId="4899BF1F" w14:textId="77777777" w:rsidR="006A42BC" w:rsidRPr="001344E3" w:rsidRDefault="006A42BC" w:rsidP="006A42BC">
            <w:pPr>
              <w:pStyle w:val="TAL"/>
            </w:pPr>
            <w:r w:rsidRPr="001344E3">
              <w:t>Time duration is defined counting from end of last symbol of PDCCH to beginning of the first symbol of PDSCH.</w:t>
            </w:r>
          </w:p>
          <w:p w14:paraId="2F243275" w14:textId="4D45EEB0" w:rsidR="00363273" w:rsidRPr="001344E3" w:rsidRDefault="006A42BC" w:rsidP="006A42BC">
            <w:pPr>
              <w:pStyle w:val="TAL"/>
            </w:pPr>
            <w:r w:rsidRPr="001344E3">
              <w:t>Xi is the number of OFDM symbols, i is the index of SCS, l=1,2, corresponding to 60,120 kHz SCS.</w:t>
            </w:r>
          </w:p>
        </w:tc>
        <w:tc>
          <w:tcPr>
            <w:tcW w:w="1842" w:type="dxa"/>
            <w:tcBorders>
              <w:top w:val="single" w:sz="4" w:space="0" w:color="auto"/>
              <w:left w:val="single" w:sz="4" w:space="0" w:color="auto"/>
              <w:bottom w:val="single" w:sz="4" w:space="0" w:color="auto"/>
              <w:right w:val="single" w:sz="4" w:space="0" w:color="auto"/>
            </w:tcBorders>
          </w:tcPr>
          <w:p w14:paraId="1AB079D7" w14:textId="0644E343" w:rsidR="00363273" w:rsidRDefault="00A107FD">
            <w:pPr>
              <w:pStyle w:val="TAL"/>
              <w:rPr>
                <w:lang w:val="en-US"/>
              </w:rPr>
            </w:pPr>
            <w:r>
              <w:rPr>
                <w:lang w:val="en-US"/>
              </w:rPr>
              <w:t>If the UE does not report this FG, DCI-based switching between single-TRP and multi-TRP is not supported.</w:t>
            </w:r>
          </w:p>
        </w:tc>
      </w:tr>
      <w:tr w:rsidR="00E76DAE" w:rsidRPr="001344E3" w14:paraId="0E427E69" w14:textId="77777777" w:rsidTr="00363273">
        <w:trPr>
          <w:trHeight w:val="20"/>
        </w:trPr>
        <w:tc>
          <w:tcPr>
            <w:tcW w:w="911" w:type="dxa"/>
            <w:tcBorders>
              <w:top w:val="single" w:sz="4" w:space="0" w:color="auto"/>
              <w:left w:val="single" w:sz="4" w:space="0" w:color="auto"/>
              <w:bottom w:val="single" w:sz="4" w:space="0" w:color="auto"/>
              <w:right w:val="single" w:sz="4" w:space="0" w:color="auto"/>
            </w:tcBorders>
            <w:shd w:val="clear" w:color="auto" w:fill="auto"/>
          </w:tcPr>
          <w:p w14:paraId="0EABD11A" w14:textId="3359D186" w:rsidR="00E76DAE" w:rsidRDefault="00E76DAE">
            <w:pPr>
              <w:pStyle w:val="TAL"/>
              <w:rPr>
                <w:rFonts w:cs="Arial"/>
                <w:szCs w:val="18"/>
                <w:lang w:val="en-US"/>
              </w:rPr>
            </w:pPr>
            <w:r>
              <w:rPr>
                <w:rFonts w:cs="Arial"/>
                <w:szCs w:val="18"/>
                <w:lang w:val="en-US"/>
              </w:rPr>
              <w:t>40-1-1e</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708199A0" w14:textId="11303673" w:rsidR="00E76DAE" w:rsidRPr="001344E3" w:rsidRDefault="002C064E">
            <w:pPr>
              <w:pStyle w:val="TAL"/>
            </w:pPr>
            <w:r w:rsidRPr="001344E3">
              <w:rPr>
                <w:rFonts w:eastAsia="Malgun Gothic" w:cs="Arial"/>
                <w:szCs w:val="18"/>
                <w:lang w:eastAsia="ko-KR"/>
              </w:rPr>
              <w:t>Two default beams for single-DCI based multi-TRP</w:t>
            </w:r>
          </w:p>
        </w:tc>
        <w:tc>
          <w:tcPr>
            <w:tcW w:w="5017" w:type="dxa"/>
            <w:tcBorders>
              <w:top w:val="single" w:sz="4" w:space="0" w:color="auto"/>
              <w:left w:val="single" w:sz="4" w:space="0" w:color="auto"/>
              <w:bottom w:val="single" w:sz="4" w:space="0" w:color="auto"/>
              <w:right w:val="single" w:sz="4" w:space="0" w:color="auto"/>
            </w:tcBorders>
            <w:shd w:val="clear" w:color="auto" w:fill="auto"/>
          </w:tcPr>
          <w:p w14:paraId="36EF7E65" w14:textId="4B8B11E6" w:rsidR="00E76DAE" w:rsidRPr="001344E3" w:rsidRDefault="003E7B38" w:rsidP="006A42BC">
            <w:pPr>
              <w:pStyle w:val="TAL"/>
            </w:pPr>
            <w:r w:rsidRPr="001344E3">
              <w:rPr>
                <w:rFonts w:eastAsia="Malgun Gothic"/>
                <w:lang w:eastAsia="ko-KR"/>
              </w:rPr>
              <w:t xml:space="preserve">Support of default QCL assumption with two </w:t>
            </w:r>
            <w:r>
              <w:rPr>
                <w:rFonts w:eastAsia="Malgun Gothic"/>
                <w:lang w:val="en-US" w:eastAsia="ko-KR"/>
              </w:rPr>
              <w:t xml:space="preserve">indicated </w:t>
            </w:r>
            <w:r w:rsidRPr="001344E3">
              <w:rPr>
                <w:rFonts w:eastAsia="Malgun Gothic"/>
                <w:lang w:eastAsia="ko-KR"/>
              </w:rPr>
              <w:t>TCI states</w:t>
            </w:r>
          </w:p>
        </w:tc>
        <w:tc>
          <w:tcPr>
            <w:tcW w:w="1842" w:type="dxa"/>
            <w:tcBorders>
              <w:top w:val="single" w:sz="4" w:space="0" w:color="auto"/>
              <w:left w:val="single" w:sz="4" w:space="0" w:color="auto"/>
              <w:bottom w:val="single" w:sz="4" w:space="0" w:color="auto"/>
              <w:right w:val="single" w:sz="4" w:space="0" w:color="auto"/>
            </w:tcBorders>
          </w:tcPr>
          <w:p w14:paraId="1CD0B87E" w14:textId="77777777" w:rsidR="00E76DAE" w:rsidRDefault="00E76DAE">
            <w:pPr>
              <w:pStyle w:val="TAL"/>
              <w:rPr>
                <w:lang w:val="en-US"/>
              </w:rPr>
            </w:pPr>
          </w:p>
        </w:tc>
      </w:tr>
      <w:tr w:rsidR="007D195A" w:rsidRPr="001344E3" w14:paraId="3E0679F3" w14:textId="77777777" w:rsidTr="00363273">
        <w:trPr>
          <w:trHeight w:val="20"/>
        </w:trPr>
        <w:tc>
          <w:tcPr>
            <w:tcW w:w="911" w:type="dxa"/>
            <w:tcBorders>
              <w:top w:val="single" w:sz="4" w:space="0" w:color="auto"/>
              <w:left w:val="single" w:sz="4" w:space="0" w:color="auto"/>
              <w:bottom w:val="single" w:sz="4" w:space="0" w:color="auto"/>
              <w:right w:val="single" w:sz="4" w:space="0" w:color="auto"/>
            </w:tcBorders>
            <w:shd w:val="clear" w:color="auto" w:fill="auto"/>
          </w:tcPr>
          <w:p w14:paraId="5391C568" w14:textId="4E9E7682" w:rsidR="007D195A" w:rsidRDefault="007D195A">
            <w:pPr>
              <w:pStyle w:val="TAL"/>
              <w:rPr>
                <w:rFonts w:cs="Arial"/>
                <w:szCs w:val="18"/>
                <w:lang w:val="en-US"/>
              </w:rPr>
            </w:pPr>
            <w:r>
              <w:rPr>
                <w:rFonts w:cs="Arial"/>
                <w:szCs w:val="18"/>
                <w:lang w:val="en-US"/>
              </w:rPr>
              <w:t>40-1-1f</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1A4F01D2" w14:textId="5DCAC0D2" w:rsidR="007D195A" w:rsidRPr="007D195A" w:rsidRDefault="007D195A">
            <w:pPr>
              <w:pStyle w:val="TAL"/>
              <w:rPr>
                <w:rFonts w:eastAsia="Malgun Gothic" w:cs="Arial"/>
                <w:szCs w:val="18"/>
                <w:lang w:val="en-US" w:eastAsia="ko-KR"/>
              </w:rPr>
            </w:pPr>
            <w:r>
              <w:rPr>
                <w:rFonts w:eastAsia="Malgun Gothic" w:cs="Arial"/>
                <w:szCs w:val="18"/>
                <w:lang w:val="en-US" w:eastAsia="ko-KR"/>
              </w:rPr>
              <w:t xml:space="preserve">Support </w:t>
            </w:r>
            <w:r w:rsidR="002F6BC2">
              <w:rPr>
                <w:rFonts w:eastAsia="Malgun Gothic" w:cs="Arial"/>
                <w:szCs w:val="18"/>
                <w:lang w:val="en-US" w:eastAsia="ko-KR"/>
              </w:rPr>
              <w:t>for CJT with two indicated TCI states</w:t>
            </w:r>
          </w:p>
        </w:tc>
        <w:tc>
          <w:tcPr>
            <w:tcW w:w="5017" w:type="dxa"/>
            <w:tcBorders>
              <w:top w:val="single" w:sz="4" w:space="0" w:color="auto"/>
              <w:left w:val="single" w:sz="4" w:space="0" w:color="auto"/>
              <w:bottom w:val="single" w:sz="4" w:space="0" w:color="auto"/>
              <w:right w:val="single" w:sz="4" w:space="0" w:color="auto"/>
            </w:tcBorders>
            <w:shd w:val="clear" w:color="auto" w:fill="auto"/>
          </w:tcPr>
          <w:p w14:paraId="6405A35D" w14:textId="42D2D7D0" w:rsidR="007D195A" w:rsidRPr="001344E3" w:rsidRDefault="002F6BC2" w:rsidP="006A42BC">
            <w:pPr>
              <w:pStyle w:val="TAL"/>
              <w:rPr>
                <w:rFonts w:eastAsia="Malgun Gothic"/>
                <w:lang w:eastAsia="ko-KR"/>
              </w:rPr>
            </w:pPr>
            <w:r>
              <w:rPr>
                <w:rFonts w:eastAsia="Malgun Gothic" w:cs="Arial"/>
                <w:szCs w:val="18"/>
                <w:lang w:val="en-US" w:eastAsia="ko-KR"/>
              </w:rPr>
              <w:t>Support for coherent joint transmission for PDSCH with two indicated TCI states</w:t>
            </w:r>
          </w:p>
        </w:tc>
        <w:tc>
          <w:tcPr>
            <w:tcW w:w="1842" w:type="dxa"/>
            <w:tcBorders>
              <w:top w:val="single" w:sz="4" w:space="0" w:color="auto"/>
              <w:left w:val="single" w:sz="4" w:space="0" w:color="auto"/>
              <w:bottom w:val="single" w:sz="4" w:space="0" w:color="auto"/>
              <w:right w:val="single" w:sz="4" w:space="0" w:color="auto"/>
            </w:tcBorders>
          </w:tcPr>
          <w:p w14:paraId="47590AF7" w14:textId="47ED7FDB" w:rsidR="007D195A" w:rsidRDefault="007D195A">
            <w:pPr>
              <w:pStyle w:val="TAL"/>
              <w:rPr>
                <w:lang w:val="en-US"/>
              </w:rPr>
            </w:pPr>
          </w:p>
        </w:tc>
      </w:tr>
      <w:tr w:rsidR="000C2AB9" w:rsidRPr="001344E3" w14:paraId="76B9E108" w14:textId="77777777" w:rsidTr="00363273">
        <w:trPr>
          <w:trHeight w:val="20"/>
        </w:trPr>
        <w:tc>
          <w:tcPr>
            <w:tcW w:w="911" w:type="dxa"/>
            <w:tcBorders>
              <w:top w:val="single" w:sz="4" w:space="0" w:color="auto"/>
              <w:left w:val="single" w:sz="4" w:space="0" w:color="auto"/>
              <w:bottom w:val="single" w:sz="4" w:space="0" w:color="auto"/>
              <w:right w:val="single" w:sz="4" w:space="0" w:color="auto"/>
            </w:tcBorders>
            <w:shd w:val="clear" w:color="auto" w:fill="auto"/>
          </w:tcPr>
          <w:p w14:paraId="6B72D36D" w14:textId="08F4B1C2" w:rsidR="000C2AB9" w:rsidRDefault="000C2AB9">
            <w:pPr>
              <w:pStyle w:val="TAL"/>
              <w:rPr>
                <w:rFonts w:cs="Arial"/>
                <w:szCs w:val="18"/>
                <w:lang w:val="en-US"/>
              </w:rPr>
            </w:pPr>
            <w:r>
              <w:rPr>
                <w:rFonts w:cs="Arial"/>
                <w:szCs w:val="18"/>
                <w:lang w:val="en-US"/>
              </w:rPr>
              <w:t>40-1-1g</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2F25DAA2" w14:textId="0F063562" w:rsidR="000C2AB9" w:rsidRDefault="000C2AB9">
            <w:pPr>
              <w:pStyle w:val="TAL"/>
              <w:rPr>
                <w:rFonts w:eastAsia="Malgun Gothic" w:cs="Arial"/>
                <w:szCs w:val="18"/>
                <w:lang w:val="en-US" w:eastAsia="ko-KR"/>
              </w:rPr>
            </w:pPr>
            <w:r>
              <w:rPr>
                <w:rFonts w:eastAsia="Malgun Gothic" w:cs="Arial"/>
                <w:szCs w:val="18"/>
                <w:lang w:val="en-US" w:eastAsia="ko-KR"/>
              </w:rPr>
              <w:t>Association between CSI-RS and indicated TCI states</w:t>
            </w:r>
          </w:p>
        </w:tc>
        <w:tc>
          <w:tcPr>
            <w:tcW w:w="5017" w:type="dxa"/>
            <w:tcBorders>
              <w:top w:val="single" w:sz="4" w:space="0" w:color="auto"/>
              <w:left w:val="single" w:sz="4" w:space="0" w:color="auto"/>
              <w:bottom w:val="single" w:sz="4" w:space="0" w:color="auto"/>
              <w:right w:val="single" w:sz="4" w:space="0" w:color="auto"/>
            </w:tcBorders>
            <w:shd w:val="clear" w:color="auto" w:fill="auto"/>
          </w:tcPr>
          <w:p w14:paraId="5A415131" w14:textId="72CC607D" w:rsidR="000C2AB9" w:rsidRDefault="000C2AB9" w:rsidP="006A42BC">
            <w:pPr>
              <w:pStyle w:val="TAL"/>
              <w:rPr>
                <w:rFonts w:eastAsia="Malgun Gothic" w:cs="Arial"/>
                <w:szCs w:val="18"/>
                <w:lang w:val="en-US" w:eastAsia="ko-KR"/>
              </w:rPr>
            </w:pPr>
            <w:r>
              <w:rPr>
                <w:rFonts w:eastAsia="Malgun Gothic" w:cs="Arial"/>
                <w:szCs w:val="18"/>
                <w:lang w:val="en-US" w:eastAsia="ko-KR"/>
              </w:rPr>
              <w:t>Defines how aperiodic CSI-RS is associated with indicated TCI states: per CSI-RS resource, per CSI-RS resource set or both</w:t>
            </w:r>
          </w:p>
        </w:tc>
        <w:tc>
          <w:tcPr>
            <w:tcW w:w="1842" w:type="dxa"/>
            <w:tcBorders>
              <w:top w:val="single" w:sz="4" w:space="0" w:color="auto"/>
              <w:left w:val="single" w:sz="4" w:space="0" w:color="auto"/>
              <w:bottom w:val="single" w:sz="4" w:space="0" w:color="auto"/>
              <w:right w:val="single" w:sz="4" w:space="0" w:color="auto"/>
            </w:tcBorders>
          </w:tcPr>
          <w:p w14:paraId="16D4A490" w14:textId="77777777" w:rsidR="000C2AB9" w:rsidRDefault="000C2AB9">
            <w:pPr>
              <w:pStyle w:val="TAL"/>
              <w:rPr>
                <w:lang w:val="en-US"/>
              </w:rPr>
            </w:pPr>
          </w:p>
        </w:tc>
      </w:tr>
    </w:tbl>
    <w:p w14:paraId="29CDDAFD" w14:textId="42A996A7" w:rsidR="00E02F4F" w:rsidRDefault="00E02F4F" w:rsidP="00462C46">
      <w:pPr>
        <w:pStyle w:val="Heading4"/>
        <w:ind w:left="0" w:firstLine="0"/>
      </w:pPr>
      <w:r>
        <w:tab/>
      </w:r>
    </w:p>
    <w:p w14:paraId="276A7082" w14:textId="1467A5D0" w:rsidR="00FC1365" w:rsidRDefault="00FC1365" w:rsidP="00FC1365">
      <w:pPr>
        <w:pStyle w:val="Heading4"/>
      </w:pPr>
      <w:r>
        <w:t>2.1.1.</w:t>
      </w:r>
      <w:r w:rsidR="00E02F4F">
        <w:t>2</w:t>
      </w:r>
      <w:r>
        <w:tab/>
        <w:t xml:space="preserve">Proposed feature groups for </w:t>
      </w:r>
      <w:r w:rsidR="00996004">
        <w:t>multi</w:t>
      </w:r>
      <w:r w:rsidR="00BA78DC">
        <w:t xml:space="preserve">-DCI and </w:t>
      </w:r>
      <w:r>
        <w:t>joint TCI states</w:t>
      </w:r>
    </w:p>
    <w:p w14:paraId="432537A6" w14:textId="56C6F0F7" w:rsidR="00AB2949" w:rsidRDefault="0025798A" w:rsidP="00AB2949">
      <w:pPr>
        <w:pStyle w:val="BodyText"/>
      </w:pPr>
      <w:r>
        <w:t xml:space="preserve">Here we </w:t>
      </w:r>
      <w:r w:rsidR="00AB2949">
        <w:t xml:space="preserve">propose a list for the UE features for </w:t>
      </w:r>
      <w:r w:rsidR="00D53040">
        <w:t>multi</w:t>
      </w:r>
      <w:r w:rsidR="00BA78DC">
        <w:t xml:space="preserve">-DCI and </w:t>
      </w:r>
      <w:r w:rsidR="00AB2949">
        <w:t>joint TCI states. Only the first four columns of the UE feature table will be used:</w:t>
      </w:r>
    </w:p>
    <w:p w14:paraId="51DEF51E" w14:textId="77777777" w:rsidR="00256EDD" w:rsidRDefault="00256EDD" w:rsidP="00AB2949">
      <w:pPr>
        <w:pStyle w:val="BodyText"/>
      </w:pPr>
    </w:p>
    <w:tbl>
      <w:tblPr>
        <w:tblW w:w="8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1"/>
        <w:gridCol w:w="1864"/>
        <w:gridCol w:w="4707"/>
        <w:gridCol w:w="1134"/>
      </w:tblGrid>
      <w:tr w:rsidR="00363273" w:rsidRPr="001344E3" w14:paraId="20B217F2" w14:textId="4FD5BBD9" w:rsidTr="00363273">
        <w:trPr>
          <w:trHeight w:val="20"/>
        </w:trPr>
        <w:tc>
          <w:tcPr>
            <w:tcW w:w="911" w:type="dxa"/>
            <w:tcBorders>
              <w:top w:val="single" w:sz="4" w:space="0" w:color="auto"/>
              <w:left w:val="single" w:sz="4" w:space="0" w:color="auto"/>
              <w:bottom w:val="single" w:sz="4" w:space="0" w:color="auto"/>
              <w:right w:val="single" w:sz="4" w:space="0" w:color="auto"/>
            </w:tcBorders>
            <w:hideMark/>
          </w:tcPr>
          <w:p w14:paraId="59CD8C83" w14:textId="77777777" w:rsidR="00363273" w:rsidRPr="001344E3" w:rsidRDefault="00363273">
            <w:pPr>
              <w:pStyle w:val="TAH"/>
            </w:pPr>
            <w:r w:rsidRPr="001344E3">
              <w:lastRenderedPageBreak/>
              <w:t>Index</w:t>
            </w:r>
          </w:p>
        </w:tc>
        <w:tc>
          <w:tcPr>
            <w:tcW w:w="1864" w:type="dxa"/>
            <w:tcBorders>
              <w:top w:val="single" w:sz="4" w:space="0" w:color="auto"/>
              <w:left w:val="single" w:sz="4" w:space="0" w:color="auto"/>
              <w:bottom w:val="single" w:sz="4" w:space="0" w:color="auto"/>
              <w:right w:val="single" w:sz="4" w:space="0" w:color="auto"/>
            </w:tcBorders>
            <w:hideMark/>
          </w:tcPr>
          <w:p w14:paraId="3D945901" w14:textId="77777777" w:rsidR="00363273" w:rsidRPr="001344E3" w:rsidRDefault="00363273">
            <w:pPr>
              <w:pStyle w:val="TAH"/>
            </w:pPr>
            <w:r w:rsidRPr="001344E3">
              <w:t>Feature group</w:t>
            </w:r>
          </w:p>
        </w:tc>
        <w:tc>
          <w:tcPr>
            <w:tcW w:w="4707" w:type="dxa"/>
            <w:tcBorders>
              <w:top w:val="single" w:sz="4" w:space="0" w:color="auto"/>
              <w:left w:val="single" w:sz="4" w:space="0" w:color="auto"/>
              <w:bottom w:val="single" w:sz="4" w:space="0" w:color="auto"/>
              <w:right w:val="single" w:sz="4" w:space="0" w:color="auto"/>
            </w:tcBorders>
            <w:hideMark/>
          </w:tcPr>
          <w:p w14:paraId="7F2745EA" w14:textId="77777777" w:rsidR="00363273" w:rsidRPr="001344E3" w:rsidRDefault="00363273">
            <w:pPr>
              <w:pStyle w:val="TAH"/>
            </w:pPr>
            <w:r w:rsidRPr="001344E3">
              <w:t>Components</w:t>
            </w:r>
          </w:p>
        </w:tc>
        <w:tc>
          <w:tcPr>
            <w:tcW w:w="1134" w:type="dxa"/>
            <w:tcBorders>
              <w:top w:val="single" w:sz="4" w:space="0" w:color="auto"/>
              <w:left w:val="single" w:sz="4" w:space="0" w:color="auto"/>
              <w:bottom w:val="single" w:sz="4" w:space="0" w:color="auto"/>
              <w:right w:val="single" w:sz="4" w:space="0" w:color="auto"/>
            </w:tcBorders>
          </w:tcPr>
          <w:p w14:paraId="55944A4C" w14:textId="63AF155F" w:rsidR="00363273" w:rsidRPr="00996004" w:rsidRDefault="00363273">
            <w:pPr>
              <w:pStyle w:val="TAH"/>
              <w:rPr>
                <w:lang w:val="en-US"/>
              </w:rPr>
            </w:pPr>
            <w:r>
              <w:rPr>
                <w:lang w:val="en-US"/>
              </w:rPr>
              <w:t>Note</w:t>
            </w:r>
          </w:p>
        </w:tc>
      </w:tr>
      <w:tr w:rsidR="00363273" w:rsidRPr="001344E3" w14:paraId="3A656BC1" w14:textId="5F1B06D5" w:rsidTr="00363273">
        <w:trPr>
          <w:trHeight w:val="20"/>
        </w:trPr>
        <w:tc>
          <w:tcPr>
            <w:tcW w:w="911" w:type="dxa"/>
            <w:tcBorders>
              <w:top w:val="single" w:sz="4" w:space="0" w:color="auto"/>
              <w:left w:val="single" w:sz="4" w:space="0" w:color="auto"/>
              <w:bottom w:val="single" w:sz="4" w:space="0" w:color="auto"/>
              <w:right w:val="single" w:sz="4" w:space="0" w:color="auto"/>
            </w:tcBorders>
            <w:shd w:val="clear" w:color="auto" w:fill="auto"/>
            <w:hideMark/>
          </w:tcPr>
          <w:p w14:paraId="15945BFF" w14:textId="3CBCC81E" w:rsidR="00363273" w:rsidRPr="00256EDD" w:rsidRDefault="00363273">
            <w:pPr>
              <w:pStyle w:val="TAL"/>
              <w:rPr>
                <w:rFonts w:cs="Arial"/>
                <w:szCs w:val="18"/>
                <w:lang w:val="en-US"/>
              </w:rPr>
            </w:pPr>
            <w:r>
              <w:rPr>
                <w:rFonts w:cs="Arial"/>
                <w:szCs w:val="18"/>
                <w:lang w:val="en-US"/>
              </w:rPr>
              <w:t>40-1-2</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7799FECE" w14:textId="692BE32F" w:rsidR="00363273" w:rsidRPr="00DD623C" w:rsidRDefault="00363273">
            <w:pPr>
              <w:pStyle w:val="TAL"/>
              <w:rPr>
                <w:rFonts w:cs="Arial"/>
                <w:szCs w:val="18"/>
                <w:lang w:val="en-US" w:eastAsia="zh-CN"/>
              </w:rPr>
            </w:pPr>
            <w:r w:rsidRPr="001344E3">
              <w:rPr>
                <w:rFonts w:cs="Arial"/>
                <w:szCs w:val="18"/>
                <w:lang w:eastAsia="zh-CN"/>
              </w:rPr>
              <w:t xml:space="preserve">Unified TCI with joint DL/UL TCI update for intra-cell </w:t>
            </w:r>
            <w:r>
              <w:rPr>
                <w:rFonts w:cs="Arial"/>
                <w:szCs w:val="18"/>
                <w:lang w:val="en-US" w:eastAsia="zh-CN"/>
              </w:rPr>
              <w:t>multi-DCI based multi-TRP operation</w:t>
            </w:r>
          </w:p>
        </w:tc>
        <w:tc>
          <w:tcPr>
            <w:tcW w:w="4707" w:type="dxa"/>
            <w:tcBorders>
              <w:top w:val="single" w:sz="4" w:space="0" w:color="auto"/>
              <w:left w:val="single" w:sz="4" w:space="0" w:color="auto"/>
              <w:bottom w:val="single" w:sz="4" w:space="0" w:color="auto"/>
              <w:right w:val="single" w:sz="4" w:space="0" w:color="auto"/>
            </w:tcBorders>
            <w:shd w:val="clear" w:color="auto" w:fill="auto"/>
          </w:tcPr>
          <w:p w14:paraId="69D11560" w14:textId="137F59D8" w:rsidR="00363273" w:rsidRPr="001344E3" w:rsidRDefault="00363273">
            <w:pPr>
              <w:pStyle w:val="TAL"/>
            </w:pPr>
            <w:r w:rsidRPr="001344E3">
              <w:t xml:space="preserve">1. Joint DL/UL TCI </w:t>
            </w:r>
            <w:r>
              <w:rPr>
                <w:lang w:val="en-US"/>
              </w:rPr>
              <w:t xml:space="preserve">state </w:t>
            </w:r>
            <w:r w:rsidRPr="001344E3">
              <w:t xml:space="preserve">update per </w:t>
            </w:r>
            <w:proofErr w:type="spellStart"/>
            <w:r>
              <w:rPr>
                <w:lang w:val="en-US"/>
              </w:rPr>
              <w:t>coresetPoolIndex</w:t>
            </w:r>
            <w:proofErr w:type="spellEnd"/>
            <w:r>
              <w:rPr>
                <w:lang w:val="en-US"/>
              </w:rPr>
              <w:t xml:space="preserve"> </w:t>
            </w:r>
            <w:r w:rsidRPr="001344E3">
              <w:t>with their components: (configuration mechanism, QCL rules, applicable source and target signals)</w:t>
            </w:r>
          </w:p>
          <w:p w14:paraId="481E02C9" w14:textId="74A169B2" w:rsidR="00363273" w:rsidRPr="001344E3" w:rsidRDefault="00363273" w:rsidP="00FC44A8">
            <w:pPr>
              <w:pStyle w:val="TAL"/>
            </w:pPr>
            <w:r>
              <w:rPr>
                <w:lang w:val="en-US"/>
              </w:rPr>
              <w:t>2</w:t>
            </w:r>
            <w:r w:rsidRPr="001344E3">
              <w:t xml:space="preserve">. One MAC-CE activated joint TCI state per </w:t>
            </w:r>
            <w:proofErr w:type="spellStart"/>
            <w:r>
              <w:rPr>
                <w:lang w:val="en-US"/>
              </w:rPr>
              <w:t>coresetPoolIndex</w:t>
            </w:r>
            <w:proofErr w:type="spellEnd"/>
            <w:r>
              <w:rPr>
                <w:lang w:val="en-US"/>
              </w:rPr>
              <w:t xml:space="preserve"> per </w:t>
            </w:r>
            <w:r w:rsidRPr="001344E3">
              <w:t>CC in a band</w:t>
            </w:r>
          </w:p>
          <w:p w14:paraId="152DFD7D" w14:textId="5F1C417A" w:rsidR="00363273" w:rsidRPr="001344E3" w:rsidRDefault="00363273">
            <w:pPr>
              <w:pStyle w:val="TAL"/>
            </w:pPr>
            <w:r>
              <w:rPr>
                <w:lang w:val="en-US"/>
              </w:rPr>
              <w:t>3</w:t>
            </w:r>
            <w:r w:rsidRPr="001344E3">
              <w:t>. The maximum number of configured joint TCI states per BWP per CC in a band</w:t>
            </w:r>
          </w:p>
          <w:p w14:paraId="76B01E32" w14:textId="0CD9DFD8" w:rsidR="00363273" w:rsidRPr="00E73C18" w:rsidRDefault="00363273">
            <w:pPr>
              <w:pStyle w:val="TAL"/>
              <w:rPr>
                <w:lang w:val="en-US"/>
              </w:rPr>
            </w:pPr>
            <w:r w:rsidRPr="001344E3">
              <w:t>4. TCI state indication for update and activation</w:t>
            </w:r>
            <w:r>
              <w:rPr>
                <w:lang w:val="en-US"/>
              </w:rPr>
              <w:t>:</w:t>
            </w:r>
            <w:r w:rsidRPr="001344E3">
              <w:rPr>
                <w:strike/>
              </w:rPr>
              <w:br/>
            </w:r>
            <w:r w:rsidRPr="001344E3">
              <w:t>a) MAC CE based TCI state indication for one active TCI state</w:t>
            </w:r>
            <w:r>
              <w:rPr>
                <w:lang w:val="en-US"/>
              </w:rPr>
              <w:t xml:space="preserve"> </w:t>
            </w:r>
            <w:r w:rsidRPr="001344E3">
              <w:t xml:space="preserve">per </w:t>
            </w:r>
            <w:proofErr w:type="spellStart"/>
            <w:r>
              <w:rPr>
                <w:lang w:val="en-US"/>
              </w:rPr>
              <w:t>coresetPoolIndex</w:t>
            </w:r>
            <w:proofErr w:type="spellEnd"/>
          </w:p>
          <w:p w14:paraId="5D835E25" w14:textId="77777777" w:rsidR="00363273" w:rsidRPr="001344E3" w:rsidRDefault="00363273">
            <w:pPr>
              <w:pStyle w:val="TAL"/>
            </w:pPr>
            <w:r w:rsidRPr="001344E3">
              <w:t>5. The maximum number of MAC-CE activated joint TCI states across all CC(s) in a band</w:t>
            </w:r>
          </w:p>
          <w:p w14:paraId="13BFA68F" w14:textId="77777777" w:rsidR="00363273" w:rsidRPr="001344E3" w:rsidRDefault="00363273">
            <w:pPr>
              <w:pStyle w:val="TAL"/>
            </w:pPr>
          </w:p>
        </w:tc>
        <w:tc>
          <w:tcPr>
            <w:tcW w:w="1134" w:type="dxa"/>
            <w:tcBorders>
              <w:top w:val="single" w:sz="4" w:space="0" w:color="auto"/>
              <w:left w:val="single" w:sz="4" w:space="0" w:color="auto"/>
              <w:bottom w:val="single" w:sz="4" w:space="0" w:color="auto"/>
              <w:right w:val="single" w:sz="4" w:space="0" w:color="auto"/>
            </w:tcBorders>
          </w:tcPr>
          <w:p w14:paraId="2AE21097" w14:textId="77777777" w:rsidR="00363273" w:rsidRPr="001344E3" w:rsidRDefault="00363273">
            <w:pPr>
              <w:pStyle w:val="TAL"/>
            </w:pPr>
          </w:p>
        </w:tc>
      </w:tr>
      <w:tr w:rsidR="00363273" w:rsidRPr="001344E3" w14:paraId="3F24DB1E" w14:textId="569D8B2D" w:rsidTr="00363273">
        <w:trPr>
          <w:trHeight w:val="20"/>
        </w:trPr>
        <w:tc>
          <w:tcPr>
            <w:tcW w:w="911" w:type="dxa"/>
            <w:tcBorders>
              <w:top w:val="single" w:sz="4" w:space="0" w:color="auto"/>
              <w:left w:val="single" w:sz="4" w:space="0" w:color="auto"/>
              <w:bottom w:val="single" w:sz="4" w:space="0" w:color="auto"/>
              <w:right w:val="single" w:sz="4" w:space="0" w:color="auto"/>
            </w:tcBorders>
            <w:shd w:val="clear" w:color="auto" w:fill="auto"/>
          </w:tcPr>
          <w:p w14:paraId="3A953DD0" w14:textId="2708A733" w:rsidR="00363273" w:rsidRPr="001344E3" w:rsidRDefault="00363273">
            <w:pPr>
              <w:pStyle w:val="TAL"/>
              <w:rPr>
                <w:rFonts w:cs="Arial"/>
                <w:szCs w:val="18"/>
              </w:rPr>
            </w:pPr>
            <w:r>
              <w:rPr>
                <w:rFonts w:cs="Arial"/>
                <w:szCs w:val="18"/>
                <w:lang w:val="en-US"/>
              </w:rPr>
              <w:t>40-1-2a</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0A7136CC" w14:textId="7811184C" w:rsidR="00363273" w:rsidRPr="001344E3" w:rsidRDefault="00363273">
            <w:pPr>
              <w:pStyle w:val="TAL"/>
              <w:rPr>
                <w:rFonts w:cs="Arial"/>
                <w:szCs w:val="18"/>
                <w:lang w:eastAsia="zh-CN"/>
              </w:rPr>
            </w:pPr>
            <w:r w:rsidRPr="001344E3">
              <w:rPr>
                <w:rFonts w:cs="Arial"/>
                <w:szCs w:val="18"/>
                <w:lang w:eastAsia="zh-CN"/>
              </w:rPr>
              <w:t xml:space="preserve">Unified TCI with joint DL/UL TCI update for inter-cell </w:t>
            </w:r>
            <w:r>
              <w:rPr>
                <w:rFonts w:cs="Arial"/>
                <w:szCs w:val="18"/>
                <w:lang w:val="en-US" w:eastAsia="zh-CN"/>
              </w:rPr>
              <w:t>multi-DCI based multi-TRP operation</w:t>
            </w:r>
          </w:p>
        </w:tc>
        <w:tc>
          <w:tcPr>
            <w:tcW w:w="4707" w:type="dxa"/>
            <w:tcBorders>
              <w:top w:val="single" w:sz="4" w:space="0" w:color="auto"/>
              <w:left w:val="single" w:sz="4" w:space="0" w:color="auto"/>
              <w:bottom w:val="single" w:sz="4" w:space="0" w:color="auto"/>
              <w:right w:val="single" w:sz="4" w:space="0" w:color="auto"/>
            </w:tcBorders>
            <w:shd w:val="clear" w:color="auto" w:fill="auto"/>
          </w:tcPr>
          <w:p w14:paraId="7AEBB252" w14:textId="54983874" w:rsidR="00363273" w:rsidRPr="00C62026" w:rsidRDefault="00363273">
            <w:pPr>
              <w:pStyle w:val="TAL"/>
              <w:rPr>
                <w:lang w:val="en-US"/>
              </w:rPr>
            </w:pPr>
            <w:r w:rsidRPr="001344E3">
              <w:t xml:space="preserve">Support of unified TCI with joint DL/UL TCI update for inter-cell </w:t>
            </w:r>
            <w:r>
              <w:rPr>
                <w:lang w:val="en-US"/>
              </w:rPr>
              <w:t xml:space="preserve">multi-DCI </w:t>
            </w:r>
            <w:r>
              <w:rPr>
                <w:rFonts w:cs="Arial"/>
                <w:szCs w:val="18"/>
                <w:lang w:val="en-US" w:eastAsia="zh-CN"/>
              </w:rPr>
              <w:t xml:space="preserve">based multi-TRP </w:t>
            </w:r>
            <w:r>
              <w:rPr>
                <w:lang w:val="en-US"/>
              </w:rPr>
              <w:t>operation</w:t>
            </w:r>
          </w:p>
        </w:tc>
        <w:tc>
          <w:tcPr>
            <w:tcW w:w="1134" w:type="dxa"/>
            <w:tcBorders>
              <w:top w:val="single" w:sz="4" w:space="0" w:color="auto"/>
              <w:left w:val="single" w:sz="4" w:space="0" w:color="auto"/>
              <w:bottom w:val="single" w:sz="4" w:space="0" w:color="auto"/>
              <w:right w:val="single" w:sz="4" w:space="0" w:color="auto"/>
            </w:tcBorders>
          </w:tcPr>
          <w:p w14:paraId="74F1300F" w14:textId="34ED7131" w:rsidR="00363273" w:rsidRPr="005723FB" w:rsidRDefault="00363273">
            <w:pPr>
              <w:pStyle w:val="TAL"/>
              <w:rPr>
                <w:lang w:val="en-US"/>
              </w:rPr>
            </w:pPr>
          </w:p>
        </w:tc>
      </w:tr>
      <w:tr w:rsidR="00363273" w:rsidRPr="001344E3" w14:paraId="50E0853D" w14:textId="1C8DF29A" w:rsidTr="00363273">
        <w:trPr>
          <w:trHeight w:val="20"/>
        </w:trPr>
        <w:tc>
          <w:tcPr>
            <w:tcW w:w="911" w:type="dxa"/>
            <w:tcBorders>
              <w:top w:val="single" w:sz="4" w:space="0" w:color="auto"/>
              <w:left w:val="single" w:sz="4" w:space="0" w:color="auto"/>
              <w:bottom w:val="single" w:sz="4" w:space="0" w:color="auto"/>
              <w:right w:val="single" w:sz="4" w:space="0" w:color="auto"/>
            </w:tcBorders>
            <w:shd w:val="clear" w:color="auto" w:fill="auto"/>
          </w:tcPr>
          <w:p w14:paraId="68BD1976" w14:textId="1A155DD6" w:rsidR="00363273" w:rsidRPr="001344E3" w:rsidRDefault="00363273">
            <w:pPr>
              <w:pStyle w:val="TAL"/>
              <w:rPr>
                <w:rFonts w:cs="Arial"/>
                <w:szCs w:val="18"/>
              </w:rPr>
            </w:pPr>
            <w:r>
              <w:rPr>
                <w:rFonts w:cs="Arial"/>
                <w:szCs w:val="18"/>
                <w:lang w:val="en-US"/>
              </w:rPr>
              <w:t>40-1-2b</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3986A221" w14:textId="4B18AE4D" w:rsidR="00363273" w:rsidRPr="001344E3" w:rsidRDefault="00363273">
            <w:pPr>
              <w:pStyle w:val="TAL"/>
              <w:rPr>
                <w:rFonts w:cs="Arial"/>
                <w:szCs w:val="18"/>
                <w:lang w:eastAsia="zh-CN"/>
              </w:rPr>
            </w:pPr>
            <w:r w:rsidRPr="001344E3">
              <w:rPr>
                <w:rFonts w:cs="Arial"/>
                <w:szCs w:val="18"/>
                <w:lang w:eastAsia="zh-CN"/>
              </w:rPr>
              <w:t xml:space="preserve">Unified TCI with joint DL/UL </w:t>
            </w:r>
            <w:r>
              <w:rPr>
                <w:rFonts w:cs="Arial"/>
                <w:szCs w:val="18"/>
                <w:lang w:val="en-US" w:eastAsia="zh-CN"/>
              </w:rPr>
              <w:t xml:space="preserve">DCI-based </w:t>
            </w:r>
            <w:r w:rsidRPr="001344E3">
              <w:rPr>
                <w:rFonts w:cs="Arial"/>
                <w:szCs w:val="18"/>
                <w:lang w:eastAsia="zh-CN"/>
              </w:rPr>
              <w:t xml:space="preserve">TCI update for inter-cell </w:t>
            </w:r>
            <w:r>
              <w:rPr>
                <w:rFonts w:cs="Arial"/>
                <w:szCs w:val="18"/>
                <w:lang w:val="en-US" w:eastAsia="zh-CN"/>
              </w:rPr>
              <w:t>multi-DCI based multi-TRP operation</w:t>
            </w:r>
          </w:p>
        </w:tc>
        <w:tc>
          <w:tcPr>
            <w:tcW w:w="4707" w:type="dxa"/>
            <w:tcBorders>
              <w:top w:val="single" w:sz="4" w:space="0" w:color="auto"/>
              <w:left w:val="single" w:sz="4" w:space="0" w:color="auto"/>
              <w:bottom w:val="single" w:sz="4" w:space="0" w:color="auto"/>
              <w:right w:val="single" w:sz="4" w:space="0" w:color="auto"/>
            </w:tcBorders>
            <w:shd w:val="clear" w:color="auto" w:fill="auto"/>
          </w:tcPr>
          <w:p w14:paraId="6C252354" w14:textId="77777777" w:rsidR="00363273" w:rsidRPr="001344E3" w:rsidRDefault="00363273" w:rsidP="00E457BD">
            <w:pPr>
              <w:pStyle w:val="TAL"/>
            </w:pPr>
            <w:r w:rsidRPr="001344E3">
              <w:t>1. TCI state indication for update and activation</w:t>
            </w:r>
            <w:r w:rsidRPr="001344E3">
              <w:br/>
              <w:t>b) MAC-CE+DCI-based TCI state indication (use of DCI formats 1_1/1_2 with DL assignment)</w:t>
            </w:r>
            <w:r w:rsidRPr="001344E3">
              <w:br/>
              <w:t>c) MAC-CE+DCI-based TCI state indication (use of DCI formats 1_1/1_2 without DL assignment)</w:t>
            </w:r>
          </w:p>
          <w:p w14:paraId="67C94759" w14:textId="77777777" w:rsidR="00363273" w:rsidRPr="001344E3" w:rsidRDefault="00363273" w:rsidP="00E457BD">
            <w:pPr>
              <w:pStyle w:val="TAL"/>
            </w:pPr>
            <w:r w:rsidRPr="001344E3">
              <w:t>2. The minimum beam application time in Y symbols per SCS</w:t>
            </w:r>
          </w:p>
          <w:p w14:paraId="5BC93419" w14:textId="325C3E8F" w:rsidR="00363273" w:rsidRPr="001344E3" w:rsidRDefault="00363273" w:rsidP="00E457BD">
            <w:pPr>
              <w:pStyle w:val="TAL"/>
            </w:pPr>
            <w:r w:rsidRPr="001344E3">
              <w:t xml:space="preserve">3. The maximum number of MAC-CE activated joint TCI states per </w:t>
            </w:r>
            <w:proofErr w:type="spellStart"/>
            <w:r>
              <w:rPr>
                <w:lang w:val="en-US"/>
              </w:rPr>
              <w:t>coresetPoolIndex</w:t>
            </w:r>
            <w:proofErr w:type="spellEnd"/>
            <w:r w:rsidRPr="001344E3">
              <w:t xml:space="preserve"> per CC in a band</w:t>
            </w:r>
          </w:p>
        </w:tc>
        <w:tc>
          <w:tcPr>
            <w:tcW w:w="1134" w:type="dxa"/>
            <w:tcBorders>
              <w:top w:val="single" w:sz="4" w:space="0" w:color="auto"/>
              <w:left w:val="single" w:sz="4" w:space="0" w:color="auto"/>
              <w:bottom w:val="single" w:sz="4" w:space="0" w:color="auto"/>
              <w:right w:val="single" w:sz="4" w:space="0" w:color="auto"/>
            </w:tcBorders>
          </w:tcPr>
          <w:p w14:paraId="0CA0AF2D" w14:textId="77777777" w:rsidR="00363273" w:rsidRPr="001344E3" w:rsidRDefault="00363273" w:rsidP="00E457BD">
            <w:pPr>
              <w:pStyle w:val="TAL"/>
            </w:pPr>
          </w:p>
        </w:tc>
      </w:tr>
      <w:tr w:rsidR="00363273" w:rsidRPr="001344E3" w14:paraId="76985CD3" w14:textId="08FFACA1" w:rsidTr="00363273">
        <w:trPr>
          <w:trHeight w:val="20"/>
        </w:trPr>
        <w:tc>
          <w:tcPr>
            <w:tcW w:w="911" w:type="dxa"/>
            <w:tcBorders>
              <w:top w:val="single" w:sz="4" w:space="0" w:color="auto"/>
              <w:left w:val="single" w:sz="4" w:space="0" w:color="auto"/>
              <w:bottom w:val="single" w:sz="4" w:space="0" w:color="auto"/>
              <w:right w:val="single" w:sz="4" w:space="0" w:color="auto"/>
            </w:tcBorders>
            <w:shd w:val="clear" w:color="auto" w:fill="auto"/>
          </w:tcPr>
          <w:p w14:paraId="74540467" w14:textId="4C9FBB6F" w:rsidR="00363273" w:rsidRPr="001344E3" w:rsidRDefault="00363273">
            <w:pPr>
              <w:pStyle w:val="TAL"/>
              <w:rPr>
                <w:rFonts w:cs="Arial"/>
                <w:szCs w:val="18"/>
              </w:rPr>
            </w:pPr>
            <w:r>
              <w:rPr>
                <w:rFonts w:cs="Arial"/>
                <w:szCs w:val="18"/>
                <w:lang w:val="en-US"/>
              </w:rPr>
              <w:t>40-1-2c</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5639E950" w14:textId="61E2C7F1" w:rsidR="00363273" w:rsidRPr="00F9451C" w:rsidRDefault="00363273">
            <w:pPr>
              <w:pStyle w:val="TAL"/>
              <w:rPr>
                <w:rFonts w:cs="Arial"/>
                <w:szCs w:val="18"/>
                <w:lang w:val="en-US" w:eastAsia="zh-CN"/>
              </w:rPr>
            </w:pPr>
            <w:r w:rsidRPr="001344E3">
              <w:rPr>
                <w:rFonts w:cs="Arial"/>
                <w:szCs w:val="18"/>
                <w:lang w:eastAsia="zh-CN"/>
              </w:rPr>
              <w:t>Maximum number of configured CC lists</w:t>
            </w:r>
            <w:r>
              <w:rPr>
                <w:rFonts w:cs="Arial"/>
                <w:szCs w:val="18"/>
                <w:lang w:val="en-US" w:eastAsia="zh-CN"/>
              </w:rPr>
              <w:t xml:space="preserve"> for </w:t>
            </w:r>
            <w:r w:rsidRPr="001344E3">
              <w:rPr>
                <w:rFonts w:cs="Arial"/>
                <w:szCs w:val="18"/>
                <w:lang w:eastAsia="zh-CN"/>
              </w:rPr>
              <w:t>joint DL/UL TCI update</w:t>
            </w:r>
            <w:r>
              <w:rPr>
                <w:rFonts w:cs="Arial"/>
                <w:szCs w:val="18"/>
                <w:lang w:val="en-US" w:eastAsia="zh-CN"/>
              </w:rPr>
              <w:t xml:space="preserve"> for multi-DCI based multi-TRP operation. </w:t>
            </w:r>
          </w:p>
        </w:tc>
        <w:tc>
          <w:tcPr>
            <w:tcW w:w="4707" w:type="dxa"/>
            <w:tcBorders>
              <w:top w:val="single" w:sz="4" w:space="0" w:color="auto"/>
              <w:left w:val="single" w:sz="4" w:space="0" w:color="auto"/>
              <w:bottom w:val="single" w:sz="4" w:space="0" w:color="auto"/>
              <w:right w:val="single" w:sz="4" w:space="0" w:color="auto"/>
            </w:tcBorders>
            <w:shd w:val="clear" w:color="auto" w:fill="auto"/>
          </w:tcPr>
          <w:p w14:paraId="381E1F02" w14:textId="291467B7" w:rsidR="00363273" w:rsidRPr="00996004" w:rsidRDefault="00363273">
            <w:pPr>
              <w:pStyle w:val="TAL"/>
              <w:rPr>
                <w:lang w:val="en-US"/>
              </w:rPr>
            </w:pPr>
            <w:r w:rsidRPr="001344E3">
              <w:t>Maximum number of configured CC lists per cell group for common multi-CC TCI state ID update and activation</w:t>
            </w:r>
          </w:p>
        </w:tc>
        <w:tc>
          <w:tcPr>
            <w:tcW w:w="1134" w:type="dxa"/>
            <w:tcBorders>
              <w:top w:val="single" w:sz="4" w:space="0" w:color="auto"/>
              <w:left w:val="single" w:sz="4" w:space="0" w:color="auto"/>
              <w:bottom w:val="single" w:sz="4" w:space="0" w:color="auto"/>
              <w:right w:val="single" w:sz="4" w:space="0" w:color="auto"/>
            </w:tcBorders>
          </w:tcPr>
          <w:p w14:paraId="538E5EF3" w14:textId="24F471CB" w:rsidR="00363273" w:rsidRPr="00996004" w:rsidRDefault="00363273">
            <w:pPr>
              <w:pStyle w:val="TAL"/>
              <w:rPr>
                <w:lang w:val="en-US"/>
              </w:rPr>
            </w:pPr>
            <w:r>
              <w:rPr>
                <w:lang w:val="en-US"/>
              </w:rPr>
              <w:t>If the UE does not report this FG, common multi-CC TCI state update is not supported</w:t>
            </w:r>
          </w:p>
        </w:tc>
      </w:tr>
      <w:tr w:rsidR="00363273" w:rsidRPr="001344E3" w14:paraId="72CF0ACD" w14:textId="36A16BFB" w:rsidTr="00363273">
        <w:trPr>
          <w:trHeight w:val="20"/>
        </w:trPr>
        <w:tc>
          <w:tcPr>
            <w:tcW w:w="911" w:type="dxa"/>
            <w:tcBorders>
              <w:top w:val="single" w:sz="4" w:space="0" w:color="auto"/>
              <w:left w:val="single" w:sz="4" w:space="0" w:color="auto"/>
              <w:bottom w:val="single" w:sz="4" w:space="0" w:color="auto"/>
              <w:right w:val="single" w:sz="4" w:space="0" w:color="auto"/>
            </w:tcBorders>
            <w:shd w:val="clear" w:color="auto" w:fill="auto"/>
          </w:tcPr>
          <w:p w14:paraId="6208A421" w14:textId="6E252440" w:rsidR="00363273" w:rsidRDefault="00CF351F">
            <w:pPr>
              <w:pStyle w:val="TAL"/>
              <w:rPr>
                <w:rFonts w:cs="Arial"/>
                <w:szCs w:val="18"/>
                <w:lang w:val="en-US"/>
              </w:rPr>
            </w:pPr>
            <w:r>
              <w:rPr>
                <w:rFonts w:cs="Arial"/>
                <w:szCs w:val="18"/>
                <w:lang w:val="en-US"/>
              </w:rPr>
              <w:t>40-1-2h</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008D6A79" w14:textId="2D86913E" w:rsidR="00363273" w:rsidRPr="00CF351F" w:rsidRDefault="00CF351F">
            <w:pPr>
              <w:pStyle w:val="TAL"/>
              <w:rPr>
                <w:rFonts w:cs="Arial"/>
                <w:szCs w:val="18"/>
                <w:lang w:val="en-US" w:eastAsia="zh-CN"/>
              </w:rPr>
            </w:pPr>
            <w:r>
              <w:rPr>
                <w:rFonts w:cs="Arial"/>
                <w:szCs w:val="18"/>
                <w:lang w:val="en-US" w:eastAsia="zh-CN"/>
              </w:rPr>
              <w:t>TRP-specific BFR for multi-DCI based multi-TRP operation</w:t>
            </w:r>
          </w:p>
        </w:tc>
        <w:tc>
          <w:tcPr>
            <w:tcW w:w="4707" w:type="dxa"/>
            <w:tcBorders>
              <w:top w:val="single" w:sz="4" w:space="0" w:color="auto"/>
              <w:left w:val="single" w:sz="4" w:space="0" w:color="auto"/>
              <w:bottom w:val="single" w:sz="4" w:space="0" w:color="auto"/>
              <w:right w:val="single" w:sz="4" w:space="0" w:color="auto"/>
            </w:tcBorders>
            <w:shd w:val="clear" w:color="auto" w:fill="auto"/>
          </w:tcPr>
          <w:p w14:paraId="4C3A4753" w14:textId="150A4CBC" w:rsidR="00363273" w:rsidRPr="00CF351F" w:rsidRDefault="00CF351F">
            <w:pPr>
              <w:pStyle w:val="TAL"/>
              <w:rPr>
                <w:lang w:val="en-US"/>
              </w:rPr>
            </w:pPr>
            <w:r>
              <w:rPr>
                <w:lang w:val="en-US"/>
              </w:rPr>
              <w:t>Support TRP-specific BFR for multi-DCI based multi-TRP operation</w:t>
            </w:r>
          </w:p>
        </w:tc>
        <w:tc>
          <w:tcPr>
            <w:tcW w:w="1134" w:type="dxa"/>
            <w:tcBorders>
              <w:top w:val="single" w:sz="4" w:space="0" w:color="auto"/>
              <w:left w:val="single" w:sz="4" w:space="0" w:color="auto"/>
              <w:bottom w:val="single" w:sz="4" w:space="0" w:color="auto"/>
              <w:right w:val="single" w:sz="4" w:space="0" w:color="auto"/>
            </w:tcBorders>
          </w:tcPr>
          <w:p w14:paraId="69B83A26" w14:textId="77777777" w:rsidR="00363273" w:rsidRPr="001344E3" w:rsidRDefault="00363273">
            <w:pPr>
              <w:pStyle w:val="TAL"/>
            </w:pPr>
          </w:p>
        </w:tc>
      </w:tr>
    </w:tbl>
    <w:p w14:paraId="0F065E1B" w14:textId="4413B576" w:rsidR="0025798A" w:rsidRDefault="00AB2949" w:rsidP="00AB2949">
      <w:pPr>
        <w:pStyle w:val="BodyText"/>
      </w:pPr>
      <w:r>
        <w:t xml:space="preserve"> </w:t>
      </w:r>
    </w:p>
    <w:p w14:paraId="0A6B5076" w14:textId="2C6671E6" w:rsidR="0055573C" w:rsidRDefault="0055573C" w:rsidP="0055573C">
      <w:pPr>
        <w:pStyle w:val="Heading4"/>
      </w:pPr>
      <w:r>
        <w:t>2.1.1.3</w:t>
      </w:r>
      <w:r>
        <w:tab/>
        <w:t>Extension to separate TCI states</w:t>
      </w:r>
    </w:p>
    <w:p w14:paraId="2769E72A" w14:textId="3943E6A8" w:rsidR="00A030F4" w:rsidRDefault="00A030F4" w:rsidP="00A030F4">
      <w:pPr>
        <w:pStyle w:val="BodyText"/>
      </w:pPr>
      <w:r>
        <w:t xml:space="preserve">As previously remarked, there will be a need to add feature groups for </w:t>
      </w:r>
      <w:r w:rsidR="000D3D74">
        <w:t>separate DL/UL TCI states. Here</w:t>
      </w:r>
      <w:r w:rsidR="00DF5EC5">
        <w:t xml:space="preserve"> we make a first assessment what FG will have to be duplicated:</w:t>
      </w:r>
    </w:p>
    <w:p w14:paraId="74AB4D4C" w14:textId="4C66B832" w:rsidR="00DF5EC5" w:rsidRDefault="00DF5EC5" w:rsidP="00A030F4">
      <w:pPr>
        <w:pStyle w:val="BodyText"/>
      </w:pPr>
      <w:r>
        <w:t>For single-DCI based multi-TRP:</w:t>
      </w:r>
    </w:p>
    <w:p w14:paraId="13F645E5" w14:textId="21837805" w:rsidR="00DF5EC5" w:rsidRPr="007854FF" w:rsidRDefault="007854FF" w:rsidP="00DF5EC5">
      <w:pPr>
        <w:pStyle w:val="ListBullet"/>
      </w:pPr>
      <w:r>
        <w:rPr>
          <w:rFonts w:cs="Arial"/>
          <w:szCs w:val="18"/>
          <w:lang w:val="en-US"/>
        </w:rPr>
        <w:t>40-1-1</w:t>
      </w:r>
    </w:p>
    <w:p w14:paraId="5B10F20A" w14:textId="7E9E2815" w:rsidR="007854FF" w:rsidRPr="007854FF" w:rsidRDefault="007854FF" w:rsidP="00DF5EC5">
      <w:pPr>
        <w:pStyle w:val="ListBullet"/>
      </w:pPr>
      <w:r>
        <w:rPr>
          <w:rFonts w:cs="Arial"/>
          <w:szCs w:val="18"/>
          <w:lang w:val="en-US"/>
        </w:rPr>
        <w:t>40-1-1b</w:t>
      </w:r>
    </w:p>
    <w:p w14:paraId="3F14B040" w14:textId="2BBCEC30" w:rsidR="00EF3652" w:rsidRDefault="00F1632D" w:rsidP="00EF3652">
      <w:pPr>
        <w:pStyle w:val="ListBullet"/>
      </w:pPr>
      <w:r>
        <w:t>40-1-1c</w:t>
      </w:r>
    </w:p>
    <w:p w14:paraId="5A99D55D" w14:textId="392B8A74" w:rsidR="00EF3652" w:rsidRDefault="00EF3652" w:rsidP="00EF3652">
      <w:pPr>
        <w:pStyle w:val="BodyText"/>
      </w:pPr>
      <w:r>
        <w:t>For multi-DCI based multi-TRP:</w:t>
      </w:r>
    </w:p>
    <w:p w14:paraId="5A9B2B39" w14:textId="7CB1D0F4" w:rsidR="00EF3652" w:rsidRPr="007854FF" w:rsidRDefault="00EF3652" w:rsidP="00EF3652">
      <w:pPr>
        <w:pStyle w:val="ListBullet"/>
      </w:pPr>
      <w:r>
        <w:rPr>
          <w:rFonts w:cs="Arial"/>
          <w:szCs w:val="18"/>
          <w:lang w:val="en-US"/>
        </w:rPr>
        <w:t>40-1-2</w:t>
      </w:r>
    </w:p>
    <w:p w14:paraId="0DD60CC4" w14:textId="04CD596E" w:rsidR="00EF3652" w:rsidRPr="007854FF" w:rsidRDefault="00EF3652" w:rsidP="00EF3652">
      <w:pPr>
        <w:pStyle w:val="ListBullet"/>
      </w:pPr>
      <w:r>
        <w:rPr>
          <w:rFonts w:cs="Arial"/>
          <w:szCs w:val="18"/>
          <w:lang w:val="en-US"/>
        </w:rPr>
        <w:t>40-1-2a</w:t>
      </w:r>
    </w:p>
    <w:p w14:paraId="67B4739F" w14:textId="585E2D45" w:rsidR="00EF3652" w:rsidRPr="00A030F4" w:rsidRDefault="00EF3652" w:rsidP="00EF3652">
      <w:pPr>
        <w:pStyle w:val="ListBullet"/>
      </w:pPr>
      <w:r>
        <w:t>40-1-2b</w:t>
      </w:r>
    </w:p>
    <w:p w14:paraId="78D69187" w14:textId="409705F1" w:rsidR="00EF3652" w:rsidRPr="00A030F4" w:rsidRDefault="00EF3652" w:rsidP="00EF3652">
      <w:pPr>
        <w:pStyle w:val="ListBullet"/>
      </w:pPr>
      <w:r>
        <w:t>40-1-2c</w:t>
      </w:r>
    </w:p>
    <w:p w14:paraId="078FF031" w14:textId="2BBC0E02" w:rsidR="00C62026" w:rsidRDefault="0021467E" w:rsidP="00AA3987">
      <w:pPr>
        <w:pStyle w:val="Heading4"/>
      </w:pPr>
      <w:r>
        <w:t>2.1.1.</w:t>
      </w:r>
      <w:r w:rsidR="0055573C">
        <w:t>4</w:t>
      </w:r>
      <w:r>
        <w:tab/>
        <w:t xml:space="preserve">Feature groups that </w:t>
      </w:r>
      <w:r w:rsidR="00AA3987">
        <w:t>may be reused from the Rel-17 framework</w:t>
      </w:r>
    </w:p>
    <w:p w14:paraId="20B92EE0" w14:textId="26569187" w:rsidR="00AA3987" w:rsidRDefault="00AA3987" w:rsidP="00AB2949">
      <w:pPr>
        <w:pStyle w:val="BodyText"/>
      </w:pPr>
      <w:r>
        <w:t xml:space="preserve">In our understanding, the </w:t>
      </w:r>
      <w:r w:rsidR="00CF24B4">
        <w:t>following feature groups from the Rel-17 TCI framework can be reused:</w:t>
      </w:r>
    </w:p>
    <w:p w14:paraId="7C3B407A" w14:textId="44BD595D" w:rsidR="00DA5F44" w:rsidRPr="007854FF" w:rsidRDefault="00DA5F44" w:rsidP="00DA5F44">
      <w:pPr>
        <w:pStyle w:val="ListBullet"/>
      </w:pPr>
      <w:r>
        <w:rPr>
          <w:rFonts w:cs="Arial"/>
          <w:szCs w:val="18"/>
          <w:lang w:val="en-US"/>
        </w:rPr>
        <w:lastRenderedPageBreak/>
        <w:t>23-1-1c: SCell BFR</w:t>
      </w:r>
    </w:p>
    <w:p w14:paraId="08258FDF" w14:textId="5349B6A1" w:rsidR="00DA5F44" w:rsidRPr="00DA5F44" w:rsidRDefault="00DA5F44" w:rsidP="00DA5F44">
      <w:pPr>
        <w:pStyle w:val="ListBullet"/>
      </w:pPr>
      <w:r>
        <w:rPr>
          <w:rFonts w:cs="Arial"/>
          <w:szCs w:val="18"/>
          <w:lang w:val="en-US"/>
        </w:rPr>
        <w:t>23-1-1d: Per BWP TCI state configuration</w:t>
      </w:r>
    </w:p>
    <w:p w14:paraId="39CA20A7" w14:textId="35A2CBD6" w:rsidR="00DA5F44" w:rsidRPr="007854FF" w:rsidRDefault="00DA5F44" w:rsidP="00DA5F44">
      <w:pPr>
        <w:pStyle w:val="ListBullet"/>
      </w:pPr>
      <w:r>
        <w:rPr>
          <w:rFonts w:cs="Arial"/>
          <w:szCs w:val="18"/>
          <w:lang w:val="en-US"/>
        </w:rPr>
        <w:t xml:space="preserve">23-1-1e: </w:t>
      </w:r>
      <w:r w:rsidR="00274516">
        <w:rPr>
          <w:rFonts w:cs="Arial"/>
          <w:szCs w:val="18"/>
          <w:lang w:val="en-US"/>
        </w:rPr>
        <w:t>Support of reference CC for TCI state configuration</w:t>
      </w:r>
    </w:p>
    <w:p w14:paraId="72417130" w14:textId="77777777" w:rsidR="00274516" w:rsidRDefault="00274516" w:rsidP="00DA5F44">
      <w:pPr>
        <w:pStyle w:val="ListBullet"/>
      </w:pPr>
      <w:r>
        <w:t>23</w:t>
      </w:r>
      <w:r w:rsidR="00DA5F44">
        <w:t>-1-</w:t>
      </w:r>
      <w:r>
        <w:t xml:space="preserve">1g: Beam misalignment </w:t>
      </w:r>
    </w:p>
    <w:p w14:paraId="144A2471" w14:textId="77777777" w:rsidR="00711507" w:rsidRDefault="001E21F5" w:rsidP="00DA5F44">
      <w:pPr>
        <w:pStyle w:val="ListBullet"/>
      </w:pPr>
      <w:r>
        <w:t>23-1-1h: Association between PC parameters and TCI state</w:t>
      </w:r>
    </w:p>
    <w:p w14:paraId="240D01C1" w14:textId="72B1AF8E" w:rsidR="00DA5F44" w:rsidRDefault="00711507" w:rsidP="00DA5F44">
      <w:pPr>
        <w:pStyle w:val="ListBullet"/>
      </w:pPr>
      <w:r>
        <w:t>23-1-1i, 23-1-1m</w:t>
      </w:r>
      <w:r w:rsidR="00E21E0E">
        <w:t xml:space="preserve">, 23-1-1j: Configuration of a single Rel-17 TCI state for </w:t>
      </w:r>
      <w:r w:rsidR="00BD6902">
        <w:t xml:space="preserve">PDCCH, </w:t>
      </w:r>
      <w:r w:rsidR="00E21E0E">
        <w:t xml:space="preserve">CSI-RS, </w:t>
      </w:r>
      <w:proofErr w:type="gramStart"/>
      <w:r w:rsidR="00BD6902">
        <w:t>SRS</w:t>
      </w:r>
      <w:proofErr w:type="gramEnd"/>
      <w:r w:rsidR="00BD6902">
        <w:t xml:space="preserve"> and CORESET#0</w:t>
      </w:r>
      <w:r w:rsidR="00274516">
        <w:t xml:space="preserve"> </w:t>
      </w:r>
    </w:p>
    <w:p w14:paraId="7923F1EE" w14:textId="3A70ABF8" w:rsidR="00EE5352" w:rsidRDefault="00EE5352" w:rsidP="00AB2949">
      <w:pPr>
        <w:pStyle w:val="BodyText"/>
      </w:pPr>
      <w:r>
        <w:t>In our understanding, none of the above FGs are related to multi-TRP operation, or multiple indicated TCI states, and hence the Rel-17 FGs can be reused.</w:t>
      </w:r>
    </w:p>
    <w:p w14:paraId="0F821AEB" w14:textId="0AB8979B" w:rsidR="00CC6138" w:rsidRDefault="00CC6138" w:rsidP="00CC6138">
      <w:pPr>
        <w:pStyle w:val="Heading4"/>
      </w:pPr>
      <w:r>
        <w:t>2.1.1.5</w:t>
      </w:r>
      <w:r>
        <w:tab/>
        <w:t>Support of multi-TRP schemes with unified TCI framework</w:t>
      </w:r>
    </w:p>
    <w:p w14:paraId="669CB9F2" w14:textId="66133C64" w:rsidR="00CC6138" w:rsidRDefault="00CC6138" w:rsidP="00CC6138">
      <w:pPr>
        <w:pStyle w:val="BodyText"/>
      </w:pPr>
      <w:r>
        <w:t xml:space="preserve">The unified TCI framework supports all schemes specified in Rel-16 and Rel-17, </w:t>
      </w:r>
      <w:proofErr w:type="gramStart"/>
      <w:r>
        <w:t>and also</w:t>
      </w:r>
      <w:proofErr w:type="gramEnd"/>
      <w:r>
        <w:t xml:space="preserve"> STxMP and CJT. The UE must be able to report which multi-TRP schemes it supports together with the unified TCI framework. We propose to add one FG with multiple components, where each component states if the UE supports the multi-TRP feature or not:</w:t>
      </w:r>
    </w:p>
    <w:tbl>
      <w:tblPr>
        <w:tblW w:w="8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1"/>
        <w:gridCol w:w="1864"/>
        <w:gridCol w:w="4707"/>
        <w:gridCol w:w="1134"/>
      </w:tblGrid>
      <w:tr w:rsidR="00CC6138" w:rsidRPr="001344E3" w14:paraId="73189DBD" w14:textId="77777777">
        <w:trPr>
          <w:trHeight w:val="20"/>
        </w:trPr>
        <w:tc>
          <w:tcPr>
            <w:tcW w:w="911" w:type="dxa"/>
            <w:tcBorders>
              <w:top w:val="single" w:sz="4" w:space="0" w:color="auto"/>
              <w:left w:val="single" w:sz="4" w:space="0" w:color="auto"/>
              <w:bottom w:val="single" w:sz="4" w:space="0" w:color="auto"/>
              <w:right w:val="single" w:sz="4" w:space="0" w:color="auto"/>
            </w:tcBorders>
            <w:hideMark/>
          </w:tcPr>
          <w:p w14:paraId="63517402" w14:textId="77777777" w:rsidR="00CC6138" w:rsidRPr="001344E3" w:rsidRDefault="00CC6138">
            <w:pPr>
              <w:pStyle w:val="TAH"/>
            </w:pPr>
            <w:r w:rsidRPr="001344E3">
              <w:t>Index</w:t>
            </w:r>
          </w:p>
        </w:tc>
        <w:tc>
          <w:tcPr>
            <w:tcW w:w="1864" w:type="dxa"/>
            <w:tcBorders>
              <w:top w:val="single" w:sz="4" w:space="0" w:color="auto"/>
              <w:left w:val="single" w:sz="4" w:space="0" w:color="auto"/>
              <w:bottom w:val="single" w:sz="4" w:space="0" w:color="auto"/>
              <w:right w:val="single" w:sz="4" w:space="0" w:color="auto"/>
            </w:tcBorders>
            <w:hideMark/>
          </w:tcPr>
          <w:p w14:paraId="46DC585A" w14:textId="77777777" w:rsidR="00CC6138" w:rsidRPr="001344E3" w:rsidRDefault="00CC6138">
            <w:pPr>
              <w:pStyle w:val="TAH"/>
            </w:pPr>
            <w:r w:rsidRPr="001344E3">
              <w:t>Feature group</w:t>
            </w:r>
          </w:p>
        </w:tc>
        <w:tc>
          <w:tcPr>
            <w:tcW w:w="4707" w:type="dxa"/>
            <w:tcBorders>
              <w:top w:val="single" w:sz="4" w:space="0" w:color="auto"/>
              <w:left w:val="single" w:sz="4" w:space="0" w:color="auto"/>
              <w:bottom w:val="single" w:sz="4" w:space="0" w:color="auto"/>
              <w:right w:val="single" w:sz="4" w:space="0" w:color="auto"/>
            </w:tcBorders>
            <w:hideMark/>
          </w:tcPr>
          <w:p w14:paraId="0E36568E" w14:textId="77777777" w:rsidR="00CC6138" w:rsidRPr="001344E3" w:rsidRDefault="00CC6138">
            <w:pPr>
              <w:pStyle w:val="TAH"/>
            </w:pPr>
            <w:r w:rsidRPr="001344E3">
              <w:t>Components</w:t>
            </w:r>
          </w:p>
        </w:tc>
        <w:tc>
          <w:tcPr>
            <w:tcW w:w="1134" w:type="dxa"/>
            <w:tcBorders>
              <w:top w:val="single" w:sz="4" w:space="0" w:color="auto"/>
              <w:left w:val="single" w:sz="4" w:space="0" w:color="auto"/>
              <w:bottom w:val="single" w:sz="4" w:space="0" w:color="auto"/>
              <w:right w:val="single" w:sz="4" w:space="0" w:color="auto"/>
            </w:tcBorders>
          </w:tcPr>
          <w:p w14:paraId="55A3419A" w14:textId="77777777" w:rsidR="00CC6138" w:rsidRPr="00996004" w:rsidRDefault="00CC6138">
            <w:pPr>
              <w:pStyle w:val="TAH"/>
              <w:rPr>
                <w:lang w:val="en-US"/>
              </w:rPr>
            </w:pPr>
            <w:r>
              <w:rPr>
                <w:lang w:val="en-US"/>
              </w:rPr>
              <w:t>Note</w:t>
            </w:r>
          </w:p>
        </w:tc>
      </w:tr>
      <w:tr w:rsidR="00CC6138" w:rsidRPr="001344E3" w14:paraId="49E4DEA1" w14:textId="77777777">
        <w:trPr>
          <w:trHeight w:val="20"/>
        </w:trPr>
        <w:tc>
          <w:tcPr>
            <w:tcW w:w="911" w:type="dxa"/>
            <w:tcBorders>
              <w:top w:val="single" w:sz="4" w:space="0" w:color="auto"/>
              <w:left w:val="single" w:sz="4" w:space="0" w:color="auto"/>
              <w:bottom w:val="single" w:sz="4" w:space="0" w:color="auto"/>
              <w:right w:val="single" w:sz="4" w:space="0" w:color="auto"/>
            </w:tcBorders>
            <w:shd w:val="clear" w:color="auto" w:fill="auto"/>
            <w:hideMark/>
          </w:tcPr>
          <w:p w14:paraId="126851FA" w14:textId="5909F051" w:rsidR="00CC6138" w:rsidRPr="00256EDD" w:rsidRDefault="00CC6138">
            <w:pPr>
              <w:pStyle w:val="TAL"/>
              <w:rPr>
                <w:rFonts w:cs="Arial"/>
                <w:szCs w:val="18"/>
                <w:lang w:val="en-US"/>
              </w:rPr>
            </w:pPr>
            <w:r>
              <w:rPr>
                <w:rFonts w:cs="Arial"/>
                <w:szCs w:val="18"/>
                <w:lang w:val="en-US"/>
              </w:rPr>
              <w:t>40-1-5</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471D901A" w14:textId="49FDF385" w:rsidR="00CC6138" w:rsidRPr="00CC6138" w:rsidRDefault="00CC6138">
            <w:pPr>
              <w:pStyle w:val="TAL"/>
              <w:rPr>
                <w:rFonts w:cs="Arial"/>
                <w:szCs w:val="18"/>
                <w:lang w:val="en-US" w:eastAsia="zh-CN"/>
              </w:rPr>
            </w:pPr>
            <w:r>
              <w:rPr>
                <w:rFonts w:cs="Arial"/>
                <w:szCs w:val="18"/>
                <w:lang w:val="en-US" w:eastAsia="zh-CN"/>
              </w:rPr>
              <w:t>Multi-TRP schemes supported with the unified TCI framework</w:t>
            </w:r>
          </w:p>
        </w:tc>
        <w:tc>
          <w:tcPr>
            <w:tcW w:w="4707" w:type="dxa"/>
            <w:tcBorders>
              <w:top w:val="single" w:sz="4" w:space="0" w:color="auto"/>
              <w:left w:val="single" w:sz="4" w:space="0" w:color="auto"/>
              <w:bottom w:val="single" w:sz="4" w:space="0" w:color="auto"/>
              <w:right w:val="single" w:sz="4" w:space="0" w:color="auto"/>
            </w:tcBorders>
            <w:shd w:val="clear" w:color="auto" w:fill="auto"/>
          </w:tcPr>
          <w:p w14:paraId="6A2BBF58" w14:textId="2F44785A" w:rsidR="00CC6138" w:rsidRDefault="00CC6138" w:rsidP="00CC6138">
            <w:pPr>
              <w:pStyle w:val="TAL"/>
              <w:numPr>
                <w:ilvl w:val="0"/>
                <w:numId w:val="46"/>
              </w:numPr>
              <w:ind w:left="227" w:hanging="227"/>
              <w:rPr>
                <w:lang w:val="en-US"/>
              </w:rPr>
            </w:pPr>
            <w:r>
              <w:rPr>
                <w:lang w:val="en-US"/>
              </w:rPr>
              <w:t>Single-DCI NC-JT</w:t>
            </w:r>
          </w:p>
          <w:p w14:paraId="4AA4CC75" w14:textId="27EDE0C3" w:rsidR="00CC6138" w:rsidRDefault="00CC6138" w:rsidP="00CC6138">
            <w:pPr>
              <w:pStyle w:val="TAL"/>
              <w:numPr>
                <w:ilvl w:val="0"/>
                <w:numId w:val="46"/>
              </w:numPr>
              <w:ind w:left="227" w:hanging="227"/>
              <w:rPr>
                <w:lang w:val="en-US"/>
              </w:rPr>
            </w:pPr>
            <w:r>
              <w:rPr>
                <w:lang w:val="en-US"/>
              </w:rPr>
              <w:t>Multi-DCI NC-JT</w:t>
            </w:r>
          </w:p>
          <w:p w14:paraId="6BD462B7" w14:textId="380CEB4D" w:rsidR="00CC6138" w:rsidRDefault="00CC6138" w:rsidP="00CC6138">
            <w:pPr>
              <w:pStyle w:val="TAL"/>
              <w:numPr>
                <w:ilvl w:val="0"/>
                <w:numId w:val="46"/>
              </w:numPr>
              <w:ind w:left="227" w:hanging="227"/>
              <w:rPr>
                <w:lang w:val="en-US"/>
              </w:rPr>
            </w:pPr>
            <w:r>
              <w:rPr>
                <w:lang w:val="en-US"/>
              </w:rPr>
              <w:t>PDCCH repetition</w:t>
            </w:r>
          </w:p>
          <w:p w14:paraId="62ABAE6E" w14:textId="3562C81C" w:rsidR="00CC6138" w:rsidRDefault="00CC6138" w:rsidP="00CC6138">
            <w:pPr>
              <w:pStyle w:val="TAL"/>
              <w:numPr>
                <w:ilvl w:val="0"/>
                <w:numId w:val="46"/>
              </w:numPr>
              <w:ind w:left="227" w:hanging="227"/>
              <w:rPr>
                <w:lang w:val="en-US"/>
              </w:rPr>
            </w:pPr>
            <w:r>
              <w:rPr>
                <w:lang w:val="en-US"/>
              </w:rPr>
              <w:t>PUCCH repetition</w:t>
            </w:r>
          </w:p>
          <w:p w14:paraId="29A39FDB" w14:textId="22E1279F" w:rsidR="00CC6138" w:rsidRDefault="00CC6138" w:rsidP="00CC6138">
            <w:pPr>
              <w:pStyle w:val="TAL"/>
              <w:numPr>
                <w:ilvl w:val="0"/>
                <w:numId w:val="46"/>
              </w:numPr>
              <w:ind w:left="227" w:hanging="227"/>
              <w:rPr>
                <w:lang w:val="en-US"/>
              </w:rPr>
            </w:pPr>
            <w:r>
              <w:rPr>
                <w:lang w:val="en-US"/>
              </w:rPr>
              <w:t>PUSCH repetition</w:t>
            </w:r>
          </w:p>
          <w:p w14:paraId="32B9BD67" w14:textId="64CC451A" w:rsidR="00CC6138" w:rsidRPr="00CC6138" w:rsidRDefault="00CC6138" w:rsidP="00CC6138">
            <w:pPr>
              <w:pStyle w:val="TAL"/>
              <w:numPr>
                <w:ilvl w:val="0"/>
                <w:numId w:val="46"/>
              </w:numPr>
              <w:ind w:left="227" w:hanging="227"/>
              <w:rPr>
                <w:lang w:val="en-US"/>
              </w:rPr>
            </w:pPr>
            <w:r>
              <w:rPr>
                <w:lang w:val="en-US"/>
              </w:rPr>
              <w:t>HST-SFN</w:t>
            </w:r>
          </w:p>
          <w:p w14:paraId="2B587FD7" w14:textId="77777777" w:rsidR="00CC6138" w:rsidRPr="001344E3" w:rsidRDefault="00CC6138">
            <w:pPr>
              <w:pStyle w:val="TAL"/>
            </w:pPr>
          </w:p>
        </w:tc>
        <w:tc>
          <w:tcPr>
            <w:tcW w:w="1134" w:type="dxa"/>
            <w:tcBorders>
              <w:top w:val="single" w:sz="4" w:space="0" w:color="auto"/>
              <w:left w:val="single" w:sz="4" w:space="0" w:color="auto"/>
              <w:bottom w:val="single" w:sz="4" w:space="0" w:color="auto"/>
              <w:right w:val="single" w:sz="4" w:space="0" w:color="auto"/>
            </w:tcBorders>
          </w:tcPr>
          <w:p w14:paraId="7D2D3205" w14:textId="77777777" w:rsidR="00CC6138" w:rsidRPr="001344E3" w:rsidRDefault="00CC6138">
            <w:pPr>
              <w:pStyle w:val="TAL"/>
            </w:pPr>
          </w:p>
        </w:tc>
      </w:tr>
    </w:tbl>
    <w:p w14:paraId="0B00AD8F" w14:textId="77777777" w:rsidR="00CC6138" w:rsidRPr="00CC6138" w:rsidRDefault="00CC6138" w:rsidP="00CC6138">
      <w:pPr>
        <w:pStyle w:val="BodyText"/>
      </w:pPr>
    </w:p>
    <w:p w14:paraId="21D25DAB" w14:textId="0D934ED2" w:rsidR="00994E1D" w:rsidRPr="006C6BB2" w:rsidRDefault="00994E1D" w:rsidP="008D6EDE">
      <w:pPr>
        <w:pStyle w:val="Heading3"/>
      </w:pPr>
      <w:r w:rsidRPr="006C6BB2">
        <w:t>2.</w:t>
      </w:r>
      <w:r w:rsidR="008D6EDE">
        <w:t>1.</w:t>
      </w:r>
      <w:r w:rsidRPr="006C6BB2">
        <w:t>2</w:t>
      </w:r>
      <w:r w:rsidRPr="006C6BB2">
        <w:tab/>
      </w:r>
      <w:r w:rsidR="008D6EDE" w:rsidRPr="008D6EDE">
        <w:t>Two TAs for multi-</w:t>
      </w:r>
      <w:r w:rsidR="008D6EDE">
        <w:t>DCI</w:t>
      </w:r>
    </w:p>
    <w:p w14:paraId="060D7646" w14:textId="741D3A57" w:rsidR="006E1898" w:rsidRDefault="006E1898" w:rsidP="006E1898">
      <w:pPr>
        <w:pStyle w:val="BodyText"/>
        <w:rPr>
          <w:rFonts w:eastAsia="Malgun Gothic" w:cs="Arial"/>
          <w:szCs w:val="18"/>
          <w:lang w:eastAsia="ko-KR"/>
        </w:rPr>
      </w:pPr>
      <w:r>
        <w:rPr>
          <w:rFonts w:eastAsia="Malgun Gothic" w:cs="Arial"/>
          <w:szCs w:val="18"/>
          <w:lang w:eastAsia="ko-KR"/>
        </w:rPr>
        <w:t xml:space="preserve">Following the RAN2 guidance in </w:t>
      </w:r>
      <w:r>
        <w:rPr>
          <w:rFonts w:eastAsia="Malgun Gothic" w:cs="Arial"/>
          <w:szCs w:val="18"/>
          <w:lang w:eastAsia="ko-KR"/>
        </w:rPr>
        <w:fldChar w:fldCharType="begin"/>
      </w:r>
      <w:r>
        <w:rPr>
          <w:rFonts w:eastAsia="Malgun Gothic" w:cs="Arial"/>
          <w:szCs w:val="18"/>
          <w:lang w:eastAsia="ko-KR"/>
        </w:rPr>
        <w:instrText xml:space="preserve"> REF _Ref134870132 \r \h </w:instrText>
      </w:r>
      <w:r>
        <w:rPr>
          <w:rFonts w:eastAsia="Malgun Gothic" w:cs="Arial"/>
          <w:szCs w:val="18"/>
          <w:lang w:eastAsia="ko-KR"/>
        </w:rPr>
      </w:r>
      <w:r>
        <w:rPr>
          <w:rFonts w:eastAsia="Malgun Gothic" w:cs="Arial"/>
          <w:szCs w:val="18"/>
          <w:lang w:eastAsia="ko-KR"/>
        </w:rPr>
        <w:fldChar w:fldCharType="separate"/>
      </w:r>
      <w:r>
        <w:rPr>
          <w:rFonts w:eastAsia="Malgun Gothic" w:cs="Arial"/>
          <w:szCs w:val="18"/>
          <w:lang w:eastAsia="ko-KR"/>
        </w:rPr>
        <w:t>[1]</w:t>
      </w:r>
      <w:r>
        <w:rPr>
          <w:rFonts w:eastAsia="Malgun Gothic" w:cs="Arial"/>
          <w:szCs w:val="18"/>
          <w:lang w:eastAsia="ko-KR"/>
        </w:rPr>
        <w:fldChar w:fldCharType="end"/>
      </w:r>
      <w:r>
        <w:rPr>
          <w:rFonts w:eastAsia="Malgun Gothic" w:cs="Arial"/>
          <w:szCs w:val="18"/>
          <w:lang w:eastAsia="ko-KR"/>
        </w:rPr>
        <w:t xml:space="preserve">, we propose that the UE features related to two TAs for multi-DCI based multi-TRP operation are provided per band: </w:t>
      </w:r>
    </w:p>
    <w:p w14:paraId="4D7F21C9" w14:textId="4745CD3A" w:rsidR="006E1898" w:rsidRDefault="006E1898" w:rsidP="005C33B0">
      <w:pPr>
        <w:pStyle w:val="Proposal"/>
      </w:pPr>
      <w:bookmarkStart w:id="2" w:name="_Toc135039472"/>
      <w:r>
        <w:t xml:space="preserve">The UE features related to </w:t>
      </w:r>
      <w:r>
        <w:rPr>
          <w:lang w:eastAsia="ko-KR"/>
        </w:rPr>
        <w:t>two TAs for multi-DCI based multi-TRP operation are provided per band.</w:t>
      </w:r>
      <w:bookmarkEnd w:id="2"/>
    </w:p>
    <w:p w14:paraId="0BF49646" w14:textId="6B4C7B53" w:rsidR="000D1B48" w:rsidRDefault="00827A27" w:rsidP="009B4655">
      <w:pPr>
        <w:pStyle w:val="BodyText"/>
      </w:pPr>
      <w:r>
        <w:t>As the name indicates, t</w:t>
      </w:r>
      <w:r w:rsidR="009B4655" w:rsidRPr="009B4655">
        <w:t xml:space="preserve">wo </w:t>
      </w:r>
      <w:r w:rsidR="009B4655">
        <w:t>TAs</w:t>
      </w:r>
      <w:r w:rsidR="006860E2">
        <w:t xml:space="preserve"> for multi-DCI based operation </w:t>
      </w:r>
      <w:r>
        <w:t xml:space="preserve">can only be used for multi-DCI based operation. </w:t>
      </w:r>
      <w:r w:rsidR="002E724B">
        <w:t>Hence, the network can only configure two TAs in one serving cell if the UE supports multi-DCI based multi-TRP.</w:t>
      </w:r>
      <w:r w:rsidR="00347978">
        <w:t xml:space="preserve"> NR specifies intra-cell multi-DCI based multi-TRP operation in Rel-15, and inter-cell multi-DCI based multi-TRP operation in Rel-17. The two TA extension is applicable to both modes, and there is a need to have separate capabilities. </w:t>
      </w:r>
    </w:p>
    <w:p w14:paraId="7F068836" w14:textId="2614B094" w:rsidR="00FC3B49" w:rsidRDefault="00FC3B49" w:rsidP="009B4655">
      <w:pPr>
        <w:pStyle w:val="BodyText"/>
      </w:pPr>
      <w:r>
        <w:t>So far, RAN1 has only agreed how to support two TA enhancement with the Rel-17 TCI framework. Here we probably need to separate this feature for joint and separate TCI states</w:t>
      </w:r>
      <w:r w:rsidR="00511EDA">
        <w:t>.</w:t>
      </w:r>
    </w:p>
    <w:p w14:paraId="346C6C57" w14:textId="325E93EF" w:rsidR="00511EDA" w:rsidRPr="009B4655" w:rsidRDefault="00511EDA" w:rsidP="00511EDA">
      <w:pPr>
        <w:pStyle w:val="Heading4"/>
      </w:pPr>
      <w:r>
        <w:lastRenderedPageBreak/>
        <w:t>2.1.2.1</w:t>
      </w:r>
      <w:r>
        <w:tab/>
        <w:t xml:space="preserve">Proposed feature groups </w:t>
      </w:r>
    </w:p>
    <w:tbl>
      <w:tblPr>
        <w:tblW w:w="8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1"/>
        <w:gridCol w:w="1864"/>
        <w:gridCol w:w="4707"/>
        <w:gridCol w:w="1134"/>
      </w:tblGrid>
      <w:tr w:rsidR="00FC3B49" w:rsidRPr="001344E3" w14:paraId="4C4043CC" w14:textId="77777777">
        <w:trPr>
          <w:trHeight w:val="20"/>
        </w:trPr>
        <w:tc>
          <w:tcPr>
            <w:tcW w:w="911" w:type="dxa"/>
            <w:tcBorders>
              <w:top w:val="single" w:sz="4" w:space="0" w:color="auto"/>
              <w:left w:val="single" w:sz="4" w:space="0" w:color="auto"/>
              <w:bottom w:val="single" w:sz="4" w:space="0" w:color="auto"/>
              <w:right w:val="single" w:sz="4" w:space="0" w:color="auto"/>
            </w:tcBorders>
            <w:hideMark/>
          </w:tcPr>
          <w:p w14:paraId="70A61D9E" w14:textId="77777777" w:rsidR="00FC3B49" w:rsidRPr="001344E3" w:rsidRDefault="00FC3B49">
            <w:pPr>
              <w:pStyle w:val="TAH"/>
            </w:pPr>
            <w:r w:rsidRPr="001344E3">
              <w:t>Index</w:t>
            </w:r>
          </w:p>
        </w:tc>
        <w:tc>
          <w:tcPr>
            <w:tcW w:w="1864" w:type="dxa"/>
            <w:tcBorders>
              <w:top w:val="single" w:sz="4" w:space="0" w:color="auto"/>
              <w:left w:val="single" w:sz="4" w:space="0" w:color="auto"/>
              <w:bottom w:val="single" w:sz="4" w:space="0" w:color="auto"/>
              <w:right w:val="single" w:sz="4" w:space="0" w:color="auto"/>
            </w:tcBorders>
            <w:hideMark/>
          </w:tcPr>
          <w:p w14:paraId="2FCB2C0A" w14:textId="77777777" w:rsidR="00FC3B49" w:rsidRPr="001344E3" w:rsidRDefault="00FC3B49">
            <w:pPr>
              <w:pStyle w:val="TAH"/>
            </w:pPr>
            <w:r w:rsidRPr="001344E3">
              <w:t>Feature group</w:t>
            </w:r>
          </w:p>
        </w:tc>
        <w:tc>
          <w:tcPr>
            <w:tcW w:w="4707" w:type="dxa"/>
            <w:tcBorders>
              <w:top w:val="single" w:sz="4" w:space="0" w:color="auto"/>
              <w:left w:val="single" w:sz="4" w:space="0" w:color="auto"/>
              <w:bottom w:val="single" w:sz="4" w:space="0" w:color="auto"/>
              <w:right w:val="single" w:sz="4" w:space="0" w:color="auto"/>
            </w:tcBorders>
            <w:hideMark/>
          </w:tcPr>
          <w:p w14:paraId="20653601" w14:textId="77777777" w:rsidR="00FC3B49" w:rsidRPr="001344E3" w:rsidRDefault="00FC3B49">
            <w:pPr>
              <w:pStyle w:val="TAH"/>
            </w:pPr>
            <w:r w:rsidRPr="001344E3">
              <w:t>Components</w:t>
            </w:r>
          </w:p>
        </w:tc>
        <w:tc>
          <w:tcPr>
            <w:tcW w:w="1134" w:type="dxa"/>
            <w:tcBorders>
              <w:top w:val="single" w:sz="4" w:space="0" w:color="auto"/>
              <w:left w:val="single" w:sz="4" w:space="0" w:color="auto"/>
              <w:bottom w:val="single" w:sz="4" w:space="0" w:color="auto"/>
              <w:right w:val="single" w:sz="4" w:space="0" w:color="auto"/>
            </w:tcBorders>
          </w:tcPr>
          <w:p w14:paraId="65D58AF2" w14:textId="77777777" w:rsidR="00FC3B49" w:rsidRPr="00996004" w:rsidRDefault="00FC3B49">
            <w:pPr>
              <w:pStyle w:val="TAH"/>
              <w:rPr>
                <w:lang w:val="en-US"/>
              </w:rPr>
            </w:pPr>
            <w:r>
              <w:rPr>
                <w:lang w:val="en-US"/>
              </w:rPr>
              <w:t>Note</w:t>
            </w:r>
          </w:p>
        </w:tc>
      </w:tr>
      <w:tr w:rsidR="00FC3B49" w:rsidRPr="001344E3" w14:paraId="35EE6A54" w14:textId="77777777">
        <w:trPr>
          <w:trHeight w:val="20"/>
        </w:trPr>
        <w:tc>
          <w:tcPr>
            <w:tcW w:w="911" w:type="dxa"/>
            <w:tcBorders>
              <w:top w:val="single" w:sz="4" w:space="0" w:color="auto"/>
              <w:left w:val="single" w:sz="4" w:space="0" w:color="auto"/>
              <w:bottom w:val="single" w:sz="4" w:space="0" w:color="auto"/>
              <w:right w:val="single" w:sz="4" w:space="0" w:color="auto"/>
            </w:tcBorders>
            <w:shd w:val="clear" w:color="auto" w:fill="auto"/>
            <w:hideMark/>
          </w:tcPr>
          <w:p w14:paraId="5875D9CD" w14:textId="10921909" w:rsidR="00FC3B49" w:rsidRPr="00256EDD" w:rsidRDefault="00FC3B49">
            <w:pPr>
              <w:pStyle w:val="TAL"/>
              <w:rPr>
                <w:rFonts w:cs="Arial"/>
                <w:szCs w:val="18"/>
                <w:lang w:val="en-US"/>
              </w:rPr>
            </w:pPr>
            <w:r>
              <w:rPr>
                <w:rFonts w:cs="Arial"/>
                <w:szCs w:val="18"/>
                <w:lang w:val="en-US"/>
              </w:rPr>
              <w:t>40-2-1</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3C316E81" w14:textId="76C49333" w:rsidR="00FC3B49" w:rsidRPr="00FC3B49" w:rsidRDefault="00FC3B49">
            <w:pPr>
              <w:pStyle w:val="TAL"/>
              <w:rPr>
                <w:rFonts w:cs="Arial"/>
                <w:szCs w:val="18"/>
                <w:lang w:val="en-US" w:eastAsia="zh-CN"/>
              </w:rPr>
            </w:pPr>
            <w:r>
              <w:rPr>
                <w:rFonts w:cs="Arial"/>
                <w:szCs w:val="18"/>
                <w:lang w:val="en-US" w:eastAsia="zh-CN"/>
              </w:rPr>
              <w:t>Two TA enhancement for intra-cell multi-DCI based multi-TRP</w:t>
            </w:r>
            <w:r w:rsidR="00511EDA">
              <w:rPr>
                <w:rFonts w:cs="Arial"/>
                <w:szCs w:val="18"/>
                <w:lang w:val="en-US" w:eastAsia="zh-CN"/>
              </w:rPr>
              <w:t xml:space="preserve"> with joint TCI states</w:t>
            </w:r>
          </w:p>
        </w:tc>
        <w:tc>
          <w:tcPr>
            <w:tcW w:w="4707" w:type="dxa"/>
            <w:tcBorders>
              <w:top w:val="single" w:sz="4" w:space="0" w:color="auto"/>
              <w:left w:val="single" w:sz="4" w:space="0" w:color="auto"/>
              <w:bottom w:val="single" w:sz="4" w:space="0" w:color="auto"/>
              <w:right w:val="single" w:sz="4" w:space="0" w:color="auto"/>
            </w:tcBorders>
            <w:shd w:val="clear" w:color="auto" w:fill="auto"/>
          </w:tcPr>
          <w:p w14:paraId="3083E4AE" w14:textId="46BA69F1" w:rsidR="00FC3B49" w:rsidRDefault="00FC3B49" w:rsidP="00BB3F83">
            <w:pPr>
              <w:pStyle w:val="TAL"/>
              <w:numPr>
                <w:ilvl w:val="0"/>
                <w:numId w:val="44"/>
              </w:numPr>
              <w:ind w:left="227" w:hanging="227"/>
            </w:pPr>
            <w:r>
              <w:rPr>
                <w:lang w:val="en-US"/>
              </w:rPr>
              <w:t>Support to configure two TAG IDs in one serving cell</w:t>
            </w:r>
            <w:r w:rsidRPr="001344E3">
              <w:t xml:space="preserve"> </w:t>
            </w:r>
          </w:p>
          <w:p w14:paraId="2736543D" w14:textId="77777777" w:rsidR="00FC3B49" w:rsidRPr="00FC3B49" w:rsidRDefault="00FC3B49" w:rsidP="00BB3F83">
            <w:pPr>
              <w:pStyle w:val="TAL"/>
              <w:numPr>
                <w:ilvl w:val="0"/>
                <w:numId w:val="44"/>
              </w:numPr>
              <w:ind w:left="227" w:hanging="227"/>
            </w:pPr>
            <w:r>
              <w:rPr>
                <w:lang w:val="en-US"/>
              </w:rPr>
              <w:t>Support to configure TAG ID in a joint TCI state</w:t>
            </w:r>
          </w:p>
          <w:p w14:paraId="65B7B0B1" w14:textId="57AF0663" w:rsidR="00FC3B49" w:rsidRPr="00782BCF" w:rsidRDefault="00FC3B49" w:rsidP="00BB3F83">
            <w:pPr>
              <w:pStyle w:val="TAL"/>
              <w:numPr>
                <w:ilvl w:val="0"/>
                <w:numId w:val="44"/>
              </w:numPr>
              <w:ind w:left="227" w:hanging="227"/>
            </w:pPr>
            <w:r>
              <w:rPr>
                <w:lang w:val="en-US"/>
              </w:rPr>
              <w:t>Sup</w:t>
            </w:r>
            <w:r w:rsidR="00782BCF">
              <w:rPr>
                <w:lang w:val="en-US"/>
              </w:rPr>
              <w:t xml:space="preserve">port difference between Rx timing references </w:t>
            </w:r>
            <w:r w:rsidR="00BB3F83">
              <w:rPr>
                <w:lang w:val="en-US"/>
              </w:rPr>
              <w:t xml:space="preserve">no larger </w:t>
            </w:r>
            <w:r w:rsidR="00782BCF">
              <w:rPr>
                <w:lang w:val="en-US"/>
              </w:rPr>
              <w:t>than CP</w:t>
            </w:r>
          </w:p>
          <w:p w14:paraId="1C424509" w14:textId="7F2D1BC1" w:rsidR="00782BCF" w:rsidRPr="00CC6138" w:rsidRDefault="00782BCF" w:rsidP="00BB3F83">
            <w:pPr>
              <w:pStyle w:val="TAL"/>
              <w:numPr>
                <w:ilvl w:val="0"/>
                <w:numId w:val="44"/>
              </w:numPr>
              <w:ind w:left="227" w:hanging="227"/>
            </w:pPr>
            <w:r>
              <w:rPr>
                <w:lang w:val="en-US"/>
              </w:rPr>
              <w:t xml:space="preserve">Support </w:t>
            </w:r>
            <w:r w:rsidR="00F87358">
              <w:rPr>
                <w:lang w:val="en-US"/>
              </w:rPr>
              <w:t>PDCCH order triggering RACH procedure towards different TRP</w:t>
            </w:r>
          </w:p>
          <w:p w14:paraId="008ECA15" w14:textId="0818F718" w:rsidR="00CC6138" w:rsidRPr="00BB3F83" w:rsidRDefault="00CC6138" w:rsidP="00BB3F83">
            <w:pPr>
              <w:pStyle w:val="TAL"/>
              <w:numPr>
                <w:ilvl w:val="0"/>
                <w:numId w:val="44"/>
              </w:numPr>
              <w:ind w:left="227" w:hanging="227"/>
            </w:pPr>
            <w:r>
              <w:rPr>
                <w:lang w:val="en-US"/>
              </w:rPr>
              <w:t>Support for absolute TA command MAC CE with TAG ID</w:t>
            </w:r>
          </w:p>
          <w:p w14:paraId="44EF2DE3" w14:textId="7D695584" w:rsidR="00BB3F83" w:rsidRPr="001344E3" w:rsidRDefault="00BB3F83" w:rsidP="00BB3F83">
            <w:pPr>
              <w:pStyle w:val="TAL"/>
              <w:numPr>
                <w:ilvl w:val="0"/>
                <w:numId w:val="44"/>
              </w:numPr>
              <w:ind w:left="227" w:hanging="227"/>
            </w:pPr>
            <w:r w:rsidRPr="00BB3F83">
              <w:t>Support for the [activated] joint TCI states [of UL signals/channels] associated to one CORESET Pool Index to be corresponding to one TAG</w:t>
            </w:r>
          </w:p>
        </w:tc>
        <w:tc>
          <w:tcPr>
            <w:tcW w:w="1134" w:type="dxa"/>
            <w:tcBorders>
              <w:top w:val="single" w:sz="4" w:space="0" w:color="auto"/>
              <w:left w:val="single" w:sz="4" w:space="0" w:color="auto"/>
              <w:bottom w:val="single" w:sz="4" w:space="0" w:color="auto"/>
              <w:right w:val="single" w:sz="4" w:space="0" w:color="auto"/>
            </w:tcBorders>
          </w:tcPr>
          <w:p w14:paraId="26C02F97" w14:textId="20B85D78" w:rsidR="00FC3B49" w:rsidRPr="00BB3F83" w:rsidRDefault="00BB3F83">
            <w:pPr>
              <w:pStyle w:val="TAL"/>
              <w:rPr>
                <w:lang w:val="en-US"/>
              </w:rPr>
            </w:pPr>
            <w:r>
              <w:rPr>
                <w:lang w:val="en-US"/>
              </w:rPr>
              <w:t>Copy for separate DL/UL TCI states</w:t>
            </w:r>
          </w:p>
        </w:tc>
      </w:tr>
      <w:tr w:rsidR="00FC3B49" w:rsidRPr="001344E3" w14:paraId="7FB47EF3" w14:textId="77777777">
        <w:trPr>
          <w:trHeight w:val="20"/>
        </w:trPr>
        <w:tc>
          <w:tcPr>
            <w:tcW w:w="911" w:type="dxa"/>
            <w:tcBorders>
              <w:top w:val="single" w:sz="4" w:space="0" w:color="auto"/>
              <w:left w:val="single" w:sz="4" w:space="0" w:color="auto"/>
              <w:bottom w:val="single" w:sz="4" w:space="0" w:color="auto"/>
              <w:right w:val="single" w:sz="4" w:space="0" w:color="auto"/>
            </w:tcBorders>
            <w:shd w:val="clear" w:color="auto" w:fill="auto"/>
          </w:tcPr>
          <w:p w14:paraId="1671F461" w14:textId="3B7968E1" w:rsidR="00FC3B49" w:rsidRPr="001344E3" w:rsidRDefault="00FC3B49">
            <w:pPr>
              <w:pStyle w:val="TAL"/>
              <w:rPr>
                <w:rFonts w:cs="Arial"/>
                <w:szCs w:val="18"/>
              </w:rPr>
            </w:pPr>
            <w:r>
              <w:rPr>
                <w:rFonts w:cs="Arial"/>
                <w:szCs w:val="18"/>
                <w:lang w:val="en-US"/>
              </w:rPr>
              <w:t>40-2-2</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2CB8FB3D" w14:textId="1E82ABF4" w:rsidR="00FC3B49" w:rsidRPr="001344E3" w:rsidRDefault="00511EDA">
            <w:pPr>
              <w:pStyle w:val="TAL"/>
              <w:rPr>
                <w:rFonts w:cs="Arial"/>
                <w:szCs w:val="18"/>
                <w:lang w:eastAsia="zh-CN"/>
              </w:rPr>
            </w:pPr>
            <w:r>
              <w:rPr>
                <w:rFonts w:cs="Arial"/>
                <w:szCs w:val="18"/>
                <w:lang w:val="en-US" w:eastAsia="zh-CN"/>
              </w:rPr>
              <w:t>Two TA enhancement for int</w:t>
            </w:r>
            <w:r w:rsidR="00BB3F83">
              <w:rPr>
                <w:rFonts w:cs="Arial"/>
                <w:szCs w:val="18"/>
                <w:lang w:val="en-US" w:eastAsia="zh-CN"/>
              </w:rPr>
              <w:t>er</w:t>
            </w:r>
            <w:r>
              <w:rPr>
                <w:rFonts w:cs="Arial"/>
                <w:szCs w:val="18"/>
                <w:lang w:val="en-US" w:eastAsia="zh-CN"/>
              </w:rPr>
              <w:t>-cell multi-DCI based multi-TRP with joint TCI states</w:t>
            </w:r>
          </w:p>
        </w:tc>
        <w:tc>
          <w:tcPr>
            <w:tcW w:w="4707" w:type="dxa"/>
            <w:tcBorders>
              <w:top w:val="single" w:sz="4" w:space="0" w:color="auto"/>
              <w:left w:val="single" w:sz="4" w:space="0" w:color="auto"/>
              <w:bottom w:val="single" w:sz="4" w:space="0" w:color="auto"/>
              <w:right w:val="single" w:sz="4" w:space="0" w:color="auto"/>
            </w:tcBorders>
            <w:shd w:val="clear" w:color="auto" w:fill="auto"/>
          </w:tcPr>
          <w:p w14:paraId="381A4340" w14:textId="77777777" w:rsidR="00BB3F83" w:rsidRDefault="00BB3F83" w:rsidP="00BB3F83">
            <w:pPr>
              <w:pStyle w:val="TAL"/>
              <w:numPr>
                <w:ilvl w:val="0"/>
                <w:numId w:val="45"/>
              </w:numPr>
              <w:ind w:left="227" w:hanging="227"/>
            </w:pPr>
            <w:r>
              <w:rPr>
                <w:lang w:val="en-US"/>
              </w:rPr>
              <w:t>Support to configure two TAG IDs in one serving cell</w:t>
            </w:r>
            <w:r w:rsidRPr="001344E3">
              <w:t xml:space="preserve"> </w:t>
            </w:r>
          </w:p>
          <w:p w14:paraId="6292C970" w14:textId="77777777" w:rsidR="00BB3F83" w:rsidRPr="00FC3B49" w:rsidRDefault="00BB3F83" w:rsidP="00BB3F83">
            <w:pPr>
              <w:pStyle w:val="TAL"/>
              <w:numPr>
                <w:ilvl w:val="0"/>
                <w:numId w:val="45"/>
              </w:numPr>
              <w:ind w:left="227" w:hanging="227"/>
            </w:pPr>
            <w:r>
              <w:rPr>
                <w:lang w:val="en-US"/>
              </w:rPr>
              <w:t>Support to configure TAG ID in a joint TCI state</w:t>
            </w:r>
          </w:p>
          <w:p w14:paraId="3446A9B3" w14:textId="57EA6D0F" w:rsidR="00BB3F83" w:rsidRPr="00782BCF" w:rsidRDefault="00BB3F83" w:rsidP="00BB3F83">
            <w:pPr>
              <w:pStyle w:val="TAL"/>
              <w:numPr>
                <w:ilvl w:val="0"/>
                <w:numId w:val="45"/>
              </w:numPr>
              <w:ind w:left="227" w:hanging="227"/>
            </w:pPr>
            <w:r>
              <w:rPr>
                <w:lang w:val="en-US"/>
              </w:rPr>
              <w:t>Support difference between Rx timing references no larger than CP</w:t>
            </w:r>
          </w:p>
          <w:p w14:paraId="15E913F8" w14:textId="702E5E92" w:rsidR="00BB3F83" w:rsidRPr="00CC6138" w:rsidRDefault="00BB3F83" w:rsidP="00BB3F83">
            <w:pPr>
              <w:pStyle w:val="TAL"/>
              <w:numPr>
                <w:ilvl w:val="0"/>
                <w:numId w:val="45"/>
              </w:numPr>
              <w:ind w:left="227" w:hanging="227"/>
            </w:pPr>
            <w:r>
              <w:rPr>
                <w:lang w:val="en-US"/>
              </w:rPr>
              <w:t>Support PDCCH order triggering RACH procedure towards different cell</w:t>
            </w:r>
          </w:p>
          <w:p w14:paraId="3DEEE96C" w14:textId="1C5DC2DA" w:rsidR="00CC6138" w:rsidRPr="00BB3F83" w:rsidRDefault="00CC6138" w:rsidP="00BB3F83">
            <w:pPr>
              <w:pStyle w:val="TAL"/>
              <w:numPr>
                <w:ilvl w:val="0"/>
                <w:numId w:val="45"/>
              </w:numPr>
              <w:ind w:left="227" w:hanging="227"/>
            </w:pPr>
            <w:r>
              <w:rPr>
                <w:lang w:val="en-US"/>
              </w:rPr>
              <w:t xml:space="preserve">Support </w:t>
            </w:r>
            <w:r w:rsidRPr="00CC6138">
              <w:t>for absolute TA command MAC CE with TAG ID</w:t>
            </w:r>
          </w:p>
          <w:p w14:paraId="4F8B305F" w14:textId="676DAEC0" w:rsidR="00FC3B49" w:rsidRPr="00511EDA" w:rsidRDefault="00BB3F83" w:rsidP="00BB3F83">
            <w:pPr>
              <w:pStyle w:val="TAL"/>
              <w:numPr>
                <w:ilvl w:val="0"/>
                <w:numId w:val="45"/>
              </w:numPr>
              <w:ind w:left="227" w:hanging="227"/>
            </w:pPr>
            <w:r w:rsidRPr="00BB3F83">
              <w:t>Support for the [activated] joint TCI states [of UL signals/channels] associated to one CORESET Pool Index to be corresponding to one TAG</w:t>
            </w:r>
          </w:p>
        </w:tc>
        <w:tc>
          <w:tcPr>
            <w:tcW w:w="1134" w:type="dxa"/>
            <w:tcBorders>
              <w:top w:val="single" w:sz="4" w:space="0" w:color="auto"/>
              <w:left w:val="single" w:sz="4" w:space="0" w:color="auto"/>
              <w:bottom w:val="single" w:sz="4" w:space="0" w:color="auto"/>
              <w:right w:val="single" w:sz="4" w:space="0" w:color="auto"/>
            </w:tcBorders>
          </w:tcPr>
          <w:p w14:paraId="29CB84DB" w14:textId="569755FF" w:rsidR="00FC3B49" w:rsidRPr="005723FB" w:rsidRDefault="00BB3F83">
            <w:pPr>
              <w:pStyle w:val="TAL"/>
              <w:rPr>
                <w:lang w:val="en-US"/>
              </w:rPr>
            </w:pPr>
            <w:r>
              <w:rPr>
                <w:lang w:val="en-US"/>
              </w:rPr>
              <w:t>Copy for separate DL/UL TCI states</w:t>
            </w:r>
          </w:p>
        </w:tc>
      </w:tr>
      <w:tr w:rsidR="00FC3B49" w:rsidRPr="001344E3" w14:paraId="6CDA41B7" w14:textId="77777777">
        <w:trPr>
          <w:trHeight w:val="20"/>
        </w:trPr>
        <w:tc>
          <w:tcPr>
            <w:tcW w:w="911" w:type="dxa"/>
            <w:tcBorders>
              <w:top w:val="single" w:sz="4" w:space="0" w:color="auto"/>
              <w:left w:val="single" w:sz="4" w:space="0" w:color="auto"/>
              <w:bottom w:val="single" w:sz="4" w:space="0" w:color="auto"/>
              <w:right w:val="single" w:sz="4" w:space="0" w:color="auto"/>
            </w:tcBorders>
            <w:shd w:val="clear" w:color="auto" w:fill="auto"/>
          </w:tcPr>
          <w:p w14:paraId="4A7735B9" w14:textId="5CBAB6AD" w:rsidR="00FC3B49" w:rsidRPr="001344E3" w:rsidRDefault="00FC3B49">
            <w:pPr>
              <w:pStyle w:val="TAL"/>
              <w:rPr>
                <w:rFonts w:cs="Arial"/>
                <w:szCs w:val="18"/>
              </w:rPr>
            </w:pPr>
            <w:r>
              <w:rPr>
                <w:rFonts w:cs="Arial"/>
                <w:szCs w:val="18"/>
                <w:lang w:val="en-US"/>
              </w:rPr>
              <w:t>40-2-3</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318760E4" w14:textId="6377BDA4" w:rsidR="00BB3F83" w:rsidRPr="00782BCF" w:rsidRDefault="00BB3F83" w:rsidP="00BB3F83">
            <w:pPr>
              <w:pStyle w:val="TAL"/>
            </w:pPr>
            <w:r>
              <w:rPr>
                <w:lang w:val="en-US"/>
              </w:rPr>
              <w:t>Difference between Rx timing references larger than CP</w:t>
            </w:r>
          </w:p>
          <w:p w14:paraId="5A54E760" w14:textId="49B14A97" w:rsidR="00FC3B49" w:rsidRPr="001344E3" w:rsidRDefault="00FC3B49">
            <w:pPr>
              <w:pStyle w:val="TAL"/>
              <w:rPr>
                <w:rFonts w:cs="Arial"/>
                <w:szCs w:val="18"/>
                <w:lang w:eastAsia="zh-CN"/>
              </w:rPr>
            </w:pPr>
          </w:p>
        </w:tc>
        <w:tc>
          <w:tcPr>
            <w:tcW w:w="4707" w:type="dxa"/>
            <w:tcBorders>
              <w:top w:val="single" w:sz="4" w:space="0" w:color="auto"/>
              <w:left w:val="single" w:sz="4" w:space="0" w:color="auto"/>
              <w:bottom w:val="single" w:sz="4" w:space="0" w:color="auto"/>
              <w:right w:val="single" w:sz="4" w:space="0" w:color="auto"/>
            </w:tcBorders>
            <w:shd w:val="clear" w:color="auto" w:fill="auto"/>
          </w:tcPr>
          <w:p w14:paraId="336711DC" w14:textId="5B88AC59" w:rsidR="00BB3F83" w:rsidRPr="00782BCF" w:rsidRDefault="00BB3F83" w:rsidP="00BB3F83">
            <w:pPr>
              <w:pStyle w:val="TAL"/>
            </w:pPr>
            <w:r>
              <w:rPr>
                <w:lang w:val="en-US"/>
              </w:rPr>
              <w:t>Support difference between Rx timing references larger than CP</w:t>
            </w:r>
          </w:p>
          <w:p w14:paraId="084B9427" w14:textId="719D1CCE" w:rsidR="00FC3B49" w:rsidRPr="001344E3" w:rsidRDefault="00FC3B49">
            <w:pPr>
              <w:pStyle w:val="TAL"/>
            </w:pPr>
          </w:p>
        </w:tc>
        <w:tc>
          <w:tcPr>
            <w:tcW w:w="1134" w:type="dxa"/>
            <w:tcBorders>
              <w:top w:val="single" w:sz="4" w:space="0" w:color="auto"/>
              <w:left w:val="single" w:sz="4" w:space="0" w:color="auto"/>
              <w:bottom w:val="single" w:sz="4" w:space="0" w:color="auto"/>
              <w:right w:val="single" w:sz="4" w:space="0" w:color="auto"/>
            </w:tcBorders>
          </w:tcPr>
          <w:p w14:paraId="567F4DD8" w14:textId="77777777" w:rsidR="00FC3B49" w:rsidRPr="001344E3" w:rsidRDefault="00FC3B49">
            <w:pPr>
              <w:pStyle w:val="TAL"/>
            </w:pPr>
          </w:p>
        </w:tc>
      </w:tr>
      <w:tr w:rsidR="00FC3B49" w:rsidRPr="001344E3" w14:paraId="650B2BDA" w14:textId="77777777">
        <w:trPr>
          <w:trHeight w:val="20"/>
        </w:trPr>
        <w:tc>
          <w:tcPr>
            <w:tcW w:w="911" w:type="dxa"/>
            <w:tcBorders>
              <w:top w:val="single" w:sz="4" w:space="0" w:color="auto"/>
              <w:left w:val="single" w:sz="4" w:space="0" w:color="auto"/>
              <w:bottom w:val="single" w:sz="4" w:space="0" w:color="auto"/>
              <w:right w:val="single" w:sz="4" w:space="0" w:color="auto"/>
            </w:tcBorders>
            <w:shd w:val="clear" w:color="auto" w:fill="auto"/>
          </w:tcPr>
          <w:p w14:paraId="0C17F90D" w14:textId="6321205B" w:rsidR="00FC3B49" w:rsidRPr="001344E3" w:rsidRDefault="00FC3B49">
            <w:pPr>
              <w:pStyle w:val="TAL"/>
              <w:rPr>
                <w:rFonts w:cs="Arial"/>
                <w:szCs w:val="18"/>
              </w:rPr>
            </w:pPr>
            <w:r>
              <w:rPr>
                <w:rFonts w:cs="Arial"/>
                <w:szCs w:val="18"/>
                <w:lang w:val="en-US"/>
              </w:rPr>
              <w:t>40-2-4</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0EBA2D09" w14:textId="3F4146A2" w:rsidR="00FC3B49" w:rsidRPr="00F9451C" w:rsidRDefault="00BB3F83">
            <w:pPr>
              <w:pStyle w:val="TAL"/>
              <w:rPr>
                <w:rFonts w:cs="Arial"/>
                <w:szCs w:val="18"/>
                <w:lang w:val="en-US" w:eastAsia="zh-CN"/>
              </w:rPr>
            </w:pPr>
            <w:r w:rsidRPr="00BB3F83">
              <w:rPr>
                <w:rFonts w:cs="Arial"/>
                <w:szCs w:val="18"/>
                <w:lang w:eastAsia="zh-CN"/>
              </w:rPr>
              <w:t>TCI states of one CORESET Pool associated to both TAGs</w:t>
            </w:r>
          </w:p>
        </w:tc>
        <w:tc>
          <w:tcPr>
            <w:tcW w:w="4707" w:type="dxa"/>
            <w:tcBorders>
              <w:top w:val="single" w:sz="4" w:space="0" w:color="auto"/>
              <w:left w:val="single" w:sz="4" w:space="0" w:color="auto"/>
              <w:bottom w:val="single" w:sz="4" w:space="0" w:color="auto"/>
              <w:right w:val="single" w:sz="4" w:space="0" w:color="auto"/>
            </w:tcBorders>
            <w:shd w:val="clear" w:color="auto" w:fill="auto"/>
          </w:tcPr>
          <w:p w14:paraId="175E666C" w14:textId="48E4A83E" w:rsidR="00FC3B49" w:rsidRPr="00996004" w:rsidRDefault="00BB3F83">
            <w:pPr>
              <w:pStyle w:val="TAL"/>
              <w:rPr>
                <w:lang w:val="en-US"/>
              </w:rPr>
            </w:pPr>
            <w:r w:rsidRPr="00BB3F83">
              <w:t>Support for the [activated] joint TCI states [of UL signals/channels] associated to one CORESET Pool Index to be corresponding to both TAGS]</w:t>
            </w:r>
          </w:p>
        </w:tc>
        <w:tc>
          <w:tcPr>
            <w:tcW w:w="1134" w:type="dxa"/>
            <w:tcBorders>
              <w:top w:val="single" w:sz="4" w:space="0" w:color="auto"/>
              <w:left w:val="single" w:sz="4" w:space="0" w:color="auto"/>
              <w:bottom w:val="single" w:sz="4" w:space="0" w:color="auto"/>
              <w:right w:val="single" w:sz="4" w:space="0" w:color="auto"/>
            </w:tcBorders>
          </w:tcPr>
          <w:p w14:paraId="1B8C00E6" w14:textId="06CAEC16" w:rsidR="00FC3B49" w:rsidRPr="00996004" w:rsidRDefault="00BB3F83">
            <w:pPr>
              <w:pStyle w:val="TAL"/>
              <w:rPr>
                <w:lang w:val="en-US"/>
              </w:rPr>
            </w:pPr>
            <w:r>
              <w:rPr>
                <w:lang w:val="en-US"/>
              </w:rPr>
              <w:t>Copy for separate DL/UL TCI states</w:t>
            </w:r>
          </w:p>
        </w:tc>
      </w:tr>
    </w:tbl>
    <w:p w14:paraId="2CAEC2C4" w14:textId="4772B13E" w:rsidR="00994E1D" w:rsidRPr="00CA3DA2" w:rsidRDefault="00994E1D" w:rsidP="00994E1D">
      <w:pPr>
        <w:rPr>
          <w:highlight w:val="yellow"/>
        </w:rPr>
      </w:pPr>
    </w:p>
    <w:p w14:paraId="12AD5223" w14:textId="248E059A" w:rsidR="00994E1D" w:rsidRPr="0098458C" w:rsidRDefault="00994E1D" w:rsidP="00994E1D">
      <w:pPr>
        <w:pStyle w:val="Heading2"/>
      </w:pPr>
      <w:r w:rsidRPr="0098458C">
        <w:t>2.</w:t>
      </w:r>
      <w:r w:rsidR="008D6EDE">
        <w:t>2</w:t>
      </w:r>
      <w:r w:rsidRPr="0098458C">
        <w:tab/>
        <w:t>CSI enhancement</w:t>
      </w:r>
    </w:p>
    <w:p w14:paraId="28DE5C2B" w14:textId="029134DF" w:rsidR="00506AA0" w:rsidRDefault="00A04F5E" w:rsidP="004347EF">
      <w:pPr>
        <w:jc w:val="both"/>
      </w:pPr>
      <w:r>
        <w:t xml:space="preserve">In agenda </w:t>
      </w:r>
      <w:r w:rsidR="00E54207">
        <w:t xml:space="preserve">9.1.2, the largest correlation delay for the basic TDCP feature is denoted as </w:t>
      </w:r>
      <w:proofErr w:type="spellStart"/>
      <w:r w:rsidR="00E54207" w:rsidRPr="00C76B49">
        <w:t>D</w:t>
      </w:r>
      <w:r w:rsidR="00E54207" w:rsidRPr="00C76B49">
        <w:rPr>
          <w:vertAlign w:val="subscript"/>
        </w:rPr>
        <w:t>basic</w:t>
      </w:r>
      <w:proofErr w:type="spellEnd"/>
      <w:r w:rsidR="00E54207">
        <w:t xml:space="preserve">. </w:t>
      </w:r>
      <w:r w:rsidR="00424E62">
        <w:t xml:space="preserve"> </w:t>
      </w:r>
      <w:r w:rsidR="00180C86">
        <w:t xml:space="preserve">The exact value for </w:t>
      </w:r>
      <w:proofErr w:type="spellStart"/>
      <w:r w:rsidR="00180C86" w:rsidRPr="00C76B49">
        <w:t>D</w:t>
      </w:r>
      <w:r w:rsidR="00180C86" w:rsidRPr="00C76B49">
        <w:rPr>
          <w:vertAlign w:val="subscript"/>
        </w:rPr>
        <w:t>basic</w:t>
      </w:r>
      <w:proofErr w:type="spellEnd"/>
      <w:r w:rsidR="00180C86">
        <w:t xml:space="preserve"> has not been</w:t>
      </w:r>
      <w:r w:rsidR="009768B9">
        <w:t xml:space="preserve"> </w:t>
      </w:r>
      <w:r w:rsidR="00424E62">
        <w:t xml:space="preserve">decided yet.  </w:t>
      </w:r>
      <w:r w:rsidR="00506AA0">
        <w:t xml:space="preserve">To measure the correlation delay over a reasonably large delay D is important </w:t>
      </w:r>
      <w:proofErr w:type="gramStart"/>
      <w:r w:rsidR="00506AA0">
        <w:t>in order for</w:t>
      </w:r>
      <w:proofErr w:type="gramEnd"/>
      <w:r w:rsidR="00506AA0">
        <w:t xml:space="preserve"> the channel variation to be large compared to noise and interference and thus to achieve good accuracy for the estimate. However, according to UE and chipset manufacturers storing RX data longer than what is needed for D=2slots gives a considerable increase in UE complexity. </w:t>
      </w:r>
      <w:r w:rsidR="00982E57">
        <w:t>T</w:t>
      </w:r>
      <w:r w:rsidR="00506AA0">
        <w:t>herefore</w:t>
      </w:r>
      <w:r w:rsidR="00982E57">
        <w:t>, we propose</w:t>
      </w:r>
      <w:r w:rsidR="00506AA0">
        <w:t xml:space="preserve"> to have a basic feature group with </w:t>
      </w:r>
      <w:proofErr w:type="spellStart"/>
      <w:r w:rsidR="00506AA0" w:rsidRPr="00A36573">
        <w:rPr>
          <w:rFonts w:ascii="Times" w:hAnsi="Times"/>
          <w:szCs w:val="32"/>
          <w:lang w:eastAsia="zh-CN"/>
        </w:rPr>
        <w:t>D</w:t>
      </w:r>
      <w:r w:rsidR="00506AA0" w:rsidRPr="00A36573">
        <w:rPr>
          <w:rFonts w:ascii="Times" w:hAnsi="Times"/>
          <w:szCs w:val="32"/>
          <w:vertAlign w:val="subscript"/>
          <w:lang w:eastAsia="zh-CN"/>
        </w:rPr>
        <w:t>basic</w:t>
      </w:r>
      <w:proofErr w:type="spellEnd"/>
      <w:r w:rsidR="00506AA0">
        <w:t xml:space="preserve"> = 28 symbols or equivalently 2slots.</w:t>
      </w:r>
      <w:r w:rsidR="00D36331">
        <w:t xml:space="preserve">  Note that simulation results shown in </w:t>
      </w:r>
      <w:r w:rsidR="00D04C66">
        <w:rPr>
          <w:highlight w:val="yellow"/>
        </w:rPr>
        <w:fldChar w:fldCharType="begin"/>
      </w:r>
      <w:r w:rsidR="00D04C66">
        <w:instrText xml:space="preserve"> REF _Ref129940502 \h </w:instrText>
      </w:r>
      <w:r w:rsidR="00D04C66">
        <w:rPr>
          <w:highlight w:val="yellow"/>
        </w:rPr>
      </w:r>
      <w:r w:rsidR="00D04C66">
        <w:rPr>
          <w:highlight w:val="yellow"/>
        </w:rPr>
        <w:fldChar w:fldCharType="separate"/>
      </w:r>
      <w:r w:rsidR="00D04C66">
        <w:t xml:space="preserve">Figure </w:t>
      </w:r>
      <w:r w:rsidR="00D04C66">
        <w:rPr>
          <w:noProof/>
        </w:rPr>
        <w:t>1</w:t>
      </w:r>
      <w:r w:rsidR="00D04C66">
        <w:rPr>
          <w:highlight w:val="yellow"/>
        </w:rPr>
        <w:fldChar w:fldCharType="end"/>
      </w:r>
      <w:r w:rsidR="00D04C66">
        <w:t xml:space="preserve"> and </w:t>
      </w:r>
      <w:r w:rsidR="00D04C66">
        <w:rPr>
          <w:highlight w:val="yellow"/>
        </w:rPr>
        <w:fldChar w:fldCharType="begin"/>
      </w:r>
      <w:r w:rsidR="00D04C66">
        <w:instrText xml:space="preserve"> REF _Ref129940756 \h </w:instrText>
      </w:r>
      <w:r w:rsidR="00D04C66">
        <w:rPr>
          <w:highlight w:val="yellow"/>
        </w:rPr>
      </w:r>
      <w:r w:rsidR="00D04C66">
        <w:rPr>
          <w:highlight w:val="yellow"/>
        </w:rPr>
        <w:fldChar w:fldCharType="separate"/>
      </w:r>
      <w:r w:rsidR="00D04C66">
        <w:t xml:space="preserve">Figure </w:t>
      </w:r>
      <w:r w:rsidR="00D04C66">
        <w:rPr>
          <w:noProof/>
        </w:rPr>
        <w:t>2</w:t>
      </w:r>
      <w:r w:rsidR="00D04C66">
        <w:rPr>
          <w:highlight w:val="yellow"/>
        </w:rPr>
        <w:fldChar w:fldCharType="end"/>
      </w:r>
      <w:r w:rsidR="00AD128D">
        <w:t xml:space="preserve"> show that </w:t>
      </w:r>
      <w:r w:rsidR="004D5A14">
        <w:t xml:space="preserve">a </w:t>
      </w:r>
      <w:proofErr w:type="spellStart"/>
      <w:r w:rsidR="004D5A14">
        <w:t>D</w:t>
      </w:r>
      <w:r w:rsidR="004D5A14" w:rsidRPr="004347EF">
        <w:rPr>
          <w:vertAlign w:val="subscript"/>
        </w:rPr>
        <w:t>basic</w:t>
      </w:r>
      <w:proofErr w:type="spellEnd"/>
      <w:r w:rsidR="004D5A14">
        <w:t xml:space="preserve"> value of 14 symbols or 1 slot results in significant performance degradation for the type I vs type II </w:t>
      </w:r>
      <w:r w:rsidR="004347EF">
        <w:t>CSI switching use case based on TDCP reporting.</w:t>
      </w:r>
    </w:p>
    <w:p w14:paraId="7582A447" w14:textId="77777777" w:rsidR="00506AA0" w:rsidRPr="0034507F" w:rsidRDefault="00506AA0" w:rsidP="005C33B0">
      <w:pPr>
        <w:pStyle w:val="Proposal"/>
      </w:pPr>
      <w:bookmarkStart w:id="3" w:name="_Toc135012951"/>
      <w:bookmarkStart w:id="4" w:name="_Toc135039473"/>
      <w:r>
        <w:t xml:space="preserve">Support </w:t>
      </w:r>
      <w:proofErr w:type="spellStart"/>
      <w:r w:rsidRPr="005C33B0">
        <w:rPr>
          <w:rFonts w:ascii="Times" w:hAnsi="Times"/>
          <w:szCs w:val="32"/>
        </w:rPr>
        <w:t>D</w:t>
      </w:r>
      <w:r w:rsidRPr="005C33B0">
        <w:rPr>
          <w:rFonts w:ascii="Times" w:hAnsi="Times"/>
          <w:szCs w:val="32"/>
          <w:vertAlign w:val="subscript"/>
        </w:rPr>
        <w:t>basic</w:t>
      </w:r>
      <w:proofErr w:type="spellEnd"/>
      <w:r>
        <w:t xml:space="preserve"> = 28 symbols or equivalently 2 slots</w:t>
      </w:r>
      <w:bookmarkEnd w:id="3"/>
      <w:bookmarkEnd w:id="4"/>
    </w:p>
    <w:p w14:paraId="160681C6" w14:textId="211B64EA" w:rsidR="00994E1D" w:rsidRDefault="00994E1D" w:rsidP="00994E1D">
      <w:pPr>
        <w:rPr>
          <w:highlight w:val="yellow"/>
        </w:rPr>
      </w:pPr>
    </w:p>
    <w:p w14:paraId="79474599" w14:textId="77777777" w:rsidR="00EC54D3" w:rsidRDefault="00EC54D3" w:rsidP="00EC54D3">
      <w:pPr>
        <w:keepNext/>
        <w:jc w:val="center"/>
      </w:pPr>
      <w:r w:rsidRPr="00931A4F">
        <w:rPr>
          <w:noProof/>
        </w:rPr>
        <w:lastRenderedPageBreak/>
        <w:drawing>
          <wp:inline distT="0" distB="0" distL="0" distR="0" wp14:anchorId="6D85D1C8" wp14:editId="41CDDA9F">
            <wp:extent cx="3779987" cy="3780000"/>
            <wp:effectExtent l="0" t="0" r="0" b="0"/>
            <wp:docPr id="65" name="Picture 65" descr="Chart, line chart&#10;&#10;Description automatically generated">
              <a:extLst xmlns:a="http://schemas.openxmlformats.org/drawingml/2006/main">
                <a:ext uri="{FF2B5EF4-FFF2-40B4-BE49-F238E27FC236}">
                  <a16:creationId xmlns:a16="http://schemas.microsoft.com/office/drawing/2014/main" id="{BBD07B68-A0D0-7A36-8658-FAAE928F10F1}"/>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6" name="Content Placeholder 5" descr="Chart, line chart&#10;&#10;Description automatically generated">
                      <a:extLst>
                        <a:ext uri="{FF2B5EF4-FFF2-40B4-BE49-F238E27FC236}">
                          <a16:creationId xmlns:a16="http://schemas.microsoft.com/office/drawing/2014/main" id="{BBD07B68-A0D0-7A36-8658-FAAE928F10F1}"/>
                        </a:ext>
                      </a:extLst>
                    </pic:cNvPr>
                    <pic:cNvPicPr>
                      <a:picLocks noGrp="1" noChangeAspect="1"/>
                    </pic:cNvPicPr>
                  </pic:nvPicPr>
                  <pic:blipFill rotWithShape="1">
                    <a:blip r:embed="rId11" cstate="print">
                      <a:extLst>
                        <a:ext uri="{28A0092B-C50C-407E-A947-70E740481C1C}">
                          <a14:useLocalDpi xmlns:a14="http://schemas.microsoft.com/office/drawing/2010/main" val="0"/>
                        </a:ext>
                      </a:extLst>
                    </a:blip>
                    <a:srcRect l="7277" t="5180" r="8397" b="6362"/>
                    <a:stretch/>
                  </pic:blipFill>
                  <pic:spPr bwMode="auto">
                    <a:xfrm>
                      <a:off x="0" y="0"/>
                      <a:ext cx="3779987" cy="3780000"/>
                    </a:xfrm>
                    <a:prstGeom prst="rect">
                      <a:avLst/>
                    </a:prstGeom>
                    <a:ln>
                      <a:noFill/>
                    </a:ln>
                    <a:extLst>
                      <a:ext uri="{53640926-AAD7-44D8-BBD7-CCE9431645EC}">
                        <a14:shadowObscured xmlns:a14="http://schemas.microsoft.com/office/drawing/2010/main"/>
                      </a:ext>
                    </a:extLst>
                  </pic:spPr>
                </pic:pic>
              </a:graphicData>
            </a:graphic>
          </wp:inline>
        </w:drawing>
      </w:r>
    </w:p>
    <w:p w14:paraId="3E46005C" w14:textId="5095E2A8" w:rsidR="00EC54D3" w:rsidRDefault="00EC54D3" w:rsidP="00EC54D3">
      <w:pPr>
        <w:pStyle w:val="Caption"/>
        <w:rPr>
          <w:lang w:eastAsia="ja-JP"/>
        </w:rPr>
      </w:pPr>
      <w:bookmarkStart w:id="5" w:name="_Ref129940502"/>
      <w:r>
        <w:t xml:space="preserve">Figure </w:t>
      </w:r>
      <w:r w:rsidR="00B31E5D">
        <w:fldChar w:fldCharType="begin"/>
      </w:r>
      <w:r w:rsidR="00B31E5D">
        <w:instrText xml:space="preserve"> SEQ Figure \* ARABIC </w:instrText>
      </w:r>
      <w:r w:rsidR="00B31E5D">
        <w:fldChar w:fldCharType="separate"/>
      </w:r>
      <w:r>
        <w:rPr>
          <w:noProof/>
        </w:rPr>
        <w:t>1</w:t>
      </w:r>
      <w:r w:rsidR="00B31E5D">
        <w:rPr>
          <w:noProof/>
        </w:rPr>
        <w:fldChar w:fldCharType="end"/>
      </w:r>
      <w:bookmarkEnd w:id="5"/>
      <w:r>
        <w:t xml:space="preserve"> Performance for CSI type I/type II switching based on the TDCP channel correlation for different correlation delays at 22dB SNR.</w:t>
      </w:r>
    </w:p>
    <w:p w14:paraId="1E8893FA" w14:textId="77777777" w:rsidR="00EC54D3" w:rsidRDefault="00EC54D3" w:rsidP="00EC54D3">
      <w:pPr>
        <w:keepNext/>
        <w:jc w:val="center"/>
      </w:pPr>
      <w:r w:rsidRPr="00931A4F">
        <w:rPr>
          <w:noProof/>
        </w:rPr>
        <w:drawing>
          <wp:inline distT="0" distB="0" distL="0" distR="0" wp14:anchorId="1148CE12" wp14:editId="311646E1">
            <wp:extent cx="3750114" cy="3780000"/>
            <wp:effectExtent l="0" t="0" r="3175" b="0"/>
            <wp:docPr id="66" name="Picture 66">
              <a:extLst xmlns:a="http://schemas.openxmlformats.org/drawingml/2006/main">
                <a:ext uri="{FF2B5EF4-FFF2-40B4-BE49-F238E27FC236}">
                  <a16:creationId xmlns:a16="http://schemas.microsoft.com/office/drawing/2014/main" id="{BBD07B68-A0D0-7A36-8658-FAAE928F10F1}"/>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6" name="Content Placeholder 5">
                      <a:extLst>
                        <a:ext uri="{FF2B5EF4-FFF2-40B4-BE49-F238E27FC236}">
                          <a16:creationId xmlns:a16="http://schemas.microsoft.com/office/drawing/2014/main" id="{BBD07B68-A0D0-7A36-8658-FAAE928F10F1}"/>
                        </a:ext>
                      </a:extLst>
                    </pic:cNvPr>
                    <pic:cNvPicPr>
                      <a:picLocks noGrp="1" noChangeAspect="1"/>
                    </pic:cNvPicPr>
                  </pic:nvPicPr>
                  <pic:blipFill rotWithShape="1">
                    <a:blip r:embed="rId12" cstate="print">
                      <a:extLst>
                        <a:ext uri="{28A0092B-C50C-407E-A947-70E740481C1C}">
                          <a14:useLocalDpi xmlns:a14="http://schemas.microsoft.com/office/drawing/2010/main" val="0"/>
                        </a:ext>
                      </a:extLst>
                    </a:blip>
                    <a:srcRect l="7313" t="4865" r="7732" b="6078"/>
                    <a:stretch/>
                  </pic:blipFill>
                  <pic:spPr bwMode="auto">
                    <a:xfrm>
                      <a:off x="0" y="0"/>
                      <a:ext cx="3750114" cy="3780000"/>
                    </a:xfrm>
                    <a:prstGeom prst="rect">
                      <a:avLst/>
                    </a:prstGeom>
                    <a:ln>
                      <a:noFill/>
                    </a:ln>
                    <a:extLst>
                      <a:ext uri="{53640926-AAD7-44D8-BBD7-CCE9431645EC}">
                        <a14:shadowObscured xmlns:a14="http://schemas.microsoft.com/office/drawing/2010/main"/>
                      </a:ext>
                    </a:extLst>
                  </pic:spPr>
                </pic:pic>
              </a:graphicData>
            </a:graphic>
          </wp:inline>
        </w:drawing>
      </w:r>
      <w:r>
        <w:br w:type="textWrapping" w:clear="all"/>
      </w:r>
    </w:p>
    <w:p w14:paraId="78A1AD64" w14:textId="3BE480C6" w:rsidR="00EC54D3" w:rsidRDefault="00EC54D3" w:rsidP="00EC54D3">
      <w:pPr>
        <w:pStyle w:val="Caption"/>
        <w:rPr>
          <w:lang w:eastAsia="ja-JP"/>
        </w:rPr>
      </w:pPr>
      <w:bookmarkStart w:id="6" w:name="_Ref129940756"/>
      <w:r>
        <w:t xml:space="preserve">Figure </w:t>
      </w:r>
      <w:r w:rsidR="00B31E5D">
        <w:fldChar w:fldCharType="begin"/>
      </w:r>
      <w:r w:rsidR="00B31E5D">
        <w:instrText xml:space="preserve"> SEQ Figure \* ARABIC </w:instrText>
      </w:r>
      <w:r w:rsidR="00B31E5D">
        <w:fldChar w:fldCharType="separate"/>
      </w:r>
      <w:r>
        <w:rPr>
          <w:noProof/>
        </w:rPr>
        <w:t>2</w:t>
      </w:r>
      <w:r w:rsidR="00B31E5D">
        <w:rPr>
          <w:noProof/>
        </w:rPr>
        <w:fldChar w:fldCharType="end"/>
      </w:r>
      <w:bookmarkEnd w:id="6"/>
      <w:r>
        <w:t xml:space="preserve"> Performance for CSI type I/type II switching based on the TDCP channel correlation for different correlation delays at 10dB SNR.</w:t>
      </w:r>
    </w:p>
    <w:p w14:paraId="679FD1FA" w14:textId="77777777" w:rsidR="00EC54D3" w:rsidRDefault="00EC54D3" w:rsidP="00994E1D">
      <w:pPr>
        <w:rPr>
          <w:highlight w:val="yellow"/>
        </w:rPr>
      </w:pPr>
    </w:p>
    <w:p w14:paraId="11588EDC" w14:textId="109B970E" w:rsidR="008D6EDE" w:rsidRDefault="00FF33F8" w:rsidP="008D6EDE">
      <w:pPr>
        <w:pStyle w:val="Heading2"/>
        <w:ind w:left="0" w:firstLine="0"/>
      </w:pPr>
      <w:r>
        <w:lastRenderedPageBreak/>
        <w:t>2.</w:t>
      </w:r>
      <w:r w:rsidR="008D6EDE">
        <w:t>3</w:t>
      </w:r>
      <w:r>
        <w:t xml:space="preserve"> </w:t>
      </w:r>
      <w:r w:rsidR="008D6EDE">
        <w:t>Reference signal enhancement</w:t>
      </w:r>
    </w:p>
    <w:p w14:paraId="36BA11F7" w14:textId="64C8BAC6" w:rsidR="008D6EDE" w:rsidRDefault="008D6EDE" w:rsidP="008D6EDE">
      <w:pPr>
        <w:pStyle w:val="Heading3"/>
      </w:pPr>
      <w:r>
        <w:t>2.3.1 Increased number of orthogonal DMRS ports</w:t>
      </w:r>
    </w:p>
    <w:p w14:paraId="03B23C90" w14:textId="0520FEF6" w:rsidR="004C5B57" w:rsidRPr="004C5B57" w:rsidRDefault="004C5B57" w:rsidP="004C5B57">
      <w:r>
        <w:t xml:space="preserve">In RAN1#110-bis meeting there’s following agreement on introducing UE capability for orphan </w:t>
      </w:r>
      <w:proofErr w:type="spellStart"/>
      <w:r>
        <w:t>REs.</w:t>
      </w:r>
      <w:proofErr w:type="spellEnd"/>
    </w:p>
    <w:p w14:paraId="2B187698" w14:textId="2DDAAF69" w:rsidR="00421F46" w:rsidRDefault="00421F46" w:rsidP="00421F46">
      <w:pPr>
        <w:pStyle w:val="elementtoproof"/>
        <w:shd w:val="clear" w:color="auto" w:fill="FFFFFF"/>
        <w:jc w:val="both"/>
        <w:rPr>
          <w:rStyle w:val="contentpasted0"/>
          <w:rFonts w:ascii="Times" w:hAnsi="Times" w:cs="Times"/>
          <w:b/>
          <w:bCs/>
          <w:color w:val="242424"/>
          <w:highlight w:val="green"/>
        </w:rPr>
      </w:pPr>
    </w:p>
    <w:p w14:paraId="21F5C423" w14:textId="375AA27D" w:rsidR="00421F46" w:rsidRPr="00A4736C" w:rsidRDefault="00421F46" w:rsidP="00421F46">
      <w:pPr>
        <w:pStyle w:val="elementtoproof"/>
        <w:shd w:val="clear" w:color="auto" w:fill="FFFFFF"/>
        <w:jc w:val="both"/>
        <w:rPr>
          <w:rFonts w:ascii="Times" w:eastAsia="MS PGothic" w:hAnsi="Times" w:cs="Times"/>
          <w:color w:val="000000"/>
          <w:sz w:val="20"/>
          <w:szCs w:val="20"/>
        </w:rPr>
      </w:pPr>
      <w:r>
        <w:rPr>
          <w:rStyle w:val="contentpasted0"/>
          <w:rFonts w:ascii="Times" w:hAnsi="Times" w:cs="Times"/>
          <w:b/>
          <w:bCs/>
          <w:color w:val="242424"/>
          <w:highlight w:val="green"/>
        </w:rPr>
        <w:t>Agreement</w:t>
      </w:r>
    </w:p>
    <w:p w14:paraId="6C7230D4" w14:textId="77777777" w:rsidR="00421F46" w:rsidRPr="007A7244" w:rsidRDefault="00421F46" w:rsidP="00421F46">
      <w:pPr>
        <w:shd w:val="clear" w:color="auto" w:fill="FFFFFF"/>
        <w:jc w:val="both"/>
        <w:rPr>
          <w:rFonts w:eastAsia="Yu Gothic UI"/>
          <w:color w:val="000000"/>
          <w:szCs w:val="22"/>
          <w:lang w:val="en-US"/>
        </w:rPr>
      </w:pPr>
      <w:r w:rsidRPr="007A7244">
        <w:rPr>
          <w:rFonts w:eastAsia="Yu Gothic UI"/>
          <w:color w:val="000000"/>
          <w:szCs w:val="22"/>
          <w:bdr w:val="none" w:sz="0" w:space="0" w:color="auto" w:frame="1"/>
        </w:rPr>
        <w:t>For</w:t>
      </w:r>
      <w:r w:rsidRPr="007A7244">
        <w:rPr>
          <w:rFonts w:eastAsia="Yu Gothic UI"/>
          <w:color w:val="000000"/>
          <w:szCs w:val="22"/>
          <w:bdr w:val="none" w:sz="0" w:space="0" w:color="auto" w:frame="1"/>
          <w:lang w:val="en-US"/>
        </w:rPr>
        <w:t xml:space="preserve"> FD-OCC length 4 in Rel.18 </w:t>
      </w:r>
      <w:proofErr w:type="spellStart"/>
      <w:r w:rsidRPr="007A7244">
        <w:rPr>
          <w:rFonts w:eastAsia="Yu Gothic UI"/>
          <w:color w:val="000000"/>
          <w:szCs w:val="22"/>
          <w:bdr w:val="none" w:sz="0" w:space="0" w:color="auto" w:frame="1"/>
          <w:lang w:val="en-US"/>
        </w:rPr>
        <w:t>eType</w:t>
      </w:r>
      <w:proofErr w:type="spellEnd"/>
      <w:r w:rsidRPr="007A7244">
        <w:rPr>
          <w:rFonts w:eastAsia="Yu Gothic UI"/>
          <w:color w:val="000000"/>
          <w:szCs w:val="22"/>
          <w:bdr w:val="none" w:sz="0" w:space="0" w:color="auto" w:frame="1"/>
          <w:lang w:val="en-US"/>
        </w:rPr>
        <w:t xml:space="preserve"> 1 DMRS for PDSCH, support the following: </w:t>
      </w:r>
    </w:p>
    <w:p w14:paraId="73C8251B" w14:textId="77777777" w:rsidR="00421F46" w:rsidRPr="007A7244" w:rsidRDefault="00421F46" w:rsidP="00421F46">
      <w:pPr>
        <w:numPr>
          <w:ilvl w:val="0"/>
          <w:numId w:val="39"/>
        </w:numPr>
        <w:shd w:val="clear" w:color="auto" w:fill="FFFFFF"/>
        <w:overflowPunct/>
        <w:autoSpaceDE/>
        <w:autoSpaceDN/>
        <w:adjustRightInd/>
        <w:spacing w:after="0"/>
        <w:jc w:val="both"/>
        <w:textAlignment w:val="auto"/>
        <w:rPr>
          <w:rFonts w:eastAsia="Yu Gothic UI"/>
          <w:color w:val="000000"/>
          <w:szCs w:val="22"/>
          <w:lang w:val="en-US"/>
        </w:rPr>
      </w:pPr>
      <w:r w:rsidRPr="007A7244">
        <w:rPr>
          <w:rFonts w:eastAsia="Yu Gothic UI"/>
          <w:color w:val="000000"/>
          <w:szCs w:val="22"/>
          <w:bdr w:val="none" w:sz="0" w:space="0" w:color="auto" w:frame="1"/>
          <w:lang w:val="en-US"/>
        </w:rPr>
        <w:t>Introduce UE capability to repo</w:t>
      </w:r>
      <w:r w:rsidRPr="007A7244">
        <w:rPr>
          <w:rFonts w:eastAsia="Yu Gothic UI"/>
          <w:color w:val="000000"/>
          <w:szCs w:val="22"/>
          <w:bdr w:val="none" w:sz="0" w:space="0" w:color="auto" w:frame="1"/>
          <w:shd w:val="clear" w:color="auto" w:fill="FFFFFF"/>
          <w:lang w:val="en-US"/>
        </w:rPr>
        <w:t xml:space="preserve">rt whether UE can be scheduled PDSCH without the scheduling restriction for FD-OCC length 4 in Rel.18 </w:t>
      </w:r>
      <w:proofErr w:type="spellStart"/>
      <w:r w:rsidRPr="007A7244">
        <w:rPr>
          <w:rFonts w:eastAsia="Yu Gothic UI"/>
          <w:color w:val="000000"/>
          <w:szCs w:val="22"/>
          <w:bdr w:val="none" w:sz="0" w:space="0" w:color="auto" w:frame="1"/>
          <w:shd w:val="clear" w:color="auto" w:fill="FFFFFF"/>
          <w:lang w:val="en-US"/>
        </w:rPr>
        <w:t>eType</w:t>
      </w:r>
      <w:proofErr w:type="spellEnd"/>
      <w:r w:rsidRPr="007A7244">
        <w:rPr>
          <w:rFonts w:eastAsia="Yu Gothic UI"/>
          <w:color w:val="000000"/>
          <w:szCs w:val="22"/>
          <w:bdr w:val="none" w:sz="0" w:space="0" w:color="auto" w:frame="1"/>
          <w:shd w:val="clear" w:color="auto" w:fill="FFFFFF"/>
          <w:lang w:val="en-US"/>
        </w:rPr>
        <w:t xml:space="preserve"> 1 DMRS. </w:t>
      </w:r>
    </w:p>
    <w:p w14:paraId="604472D2" w14:textId="77777777" w:rsidR="00421F46" w:rsidRPr="007A7244" w:rsidRDefault="00421F46" w:rsidP="00421F46">
      <w:pPr>
        <w:numPr>
          <w:ilvl w:val="1"/>
          <w:numId w:val="39"/>
        </w:numPr>
        <w:shd w:val="clear" w:color="auto" w:fill="FFFFFF"/>
        <w:overflowPunct/>
        <w:autoSpaceDE/>
        <w:autoSpaceDN/>
        <w:adjustRightInd/>
        <w:spacing w:after="0"/>
        <w:jc w:val="both"/>
        <w:textAlignment w:val="auto"/>
        <w:rPr>
          <w:rFonts w:eastAsia="Yu Gothic UI"/>
          <w:color w:val="000000"/>
          <w:szCs w:val="22"/>
          <w:lang w:val="en-US"/>
        </w:rPr>
      </w:pPr>
      <w:r w:rsidRPr="007A7244">
        <w:rPr>
          <w:rFonts w:eastAsia="Yu Gothic UI"/>
          <w:color w:val="000000"/>
          <w:szCs w:val="22"/>
          <w:bdr w:val="none" w:sz="0" w:space="0" w:color="auto" w:frame="1"/>
          <w:shd w:val="clear" w:color="auto" w:fill="FFFFFF"/>
          <w:lang w:val="en-US"/>
        </w:rPr>
        <w:t xml:space="preserve">If this capability is not supported by the UE, UE expects that gNB shall apply the scheduling restriction for PDSCH for FD-OCC length 4 in Rel.18 </w:t>
      </w:r>
      <w:proofErr w:type="spellStart"/>
      <w:r w:rsidRPr="007A7244">
        <w:rPr>
          <w:rFonts w:eastAsia="Yu Gothic UI"/>
          <w:color w:val="000000"/>
          <w:szCs w:val="22"/>
          <w:bdr w:val="none" w:sz="0" w:space="0" w:color="auto" w:frame="1"/>
          <w:shd w:val="clear" w:color="auto" w:fill="FFFFFF"/>
          <w:lang w:val="en-US"/>
        </w:rPr>
        <w:t>eType</w:t>
      </w:r>
      <w:proofErr w:type="spellEnd"/>
      <w:r w:rsidRPr="007A7244">
        <w:rPr>
          <w:rFonts w:eastAsia="Yu Gothic UI"/>
          <w:color w:val="000000"/>
          <w:szCs w:val="22"/>
          <w:bdr w:val="none" w:sz="0" w:space="0" w:color="auto" w:frame="1"/>
          <w:shd w:val="clear" w:color="auto" w:fill="FFFFFF"/>
          <w:lang w:val="en-US"/>
        </w:rPr>
        <w:t xml:space="preserve"> 1 DMRS.</w:t>
      </w:r>
    </w:p>
    <w:p w14:paraId="3CF5BF6D" w14:textId="77777777" w:rsidR="00421F46" w:rsidRPr="007A7244" w:rsidRDefault="00421F46" w:rsidP="00421F46">
      <w:pPr>
        <w:numPr>
          <w:ilvl w:val="0"/>
          <w:numId w:val="39"/>
        </w:numPr>
        <w:shd w:val="clear" w:color="auto" w:fill="FFFFFF"/>
        <w:overflowPunct/>
        <w:autoSpaceDE/>
        <w:autoSpaceDN/>
        <w:adjustRightInd/>
        <w:spacing w:after="0"/>
        <w:jc w:val="both"/>
        <w:textAlignment w:val="auto"/>
        <w:rPr>
          <w:rFonts w:eastAsia="Yu Gothic UI"/>
          <w:szCs w:val="22"/>
          <w:lang w:val="en-US"/>
        </w:rPr>
      </w:pPr>
      <w:r w:rsidRPr="007A7244">
        <w:rPr>
          <w:rFonts w:eastAsia="Yu Gothic UI"/>
          <w:color w:val="000000"/>
          <w:szCs w:val="22"/>
          <w:bdr w:val="none" w:sz="0" w:space="0" w:color="auto" w:frame="1"/>
          <w:shd w:val="clear" w:color="auto" w:fill="FFFFFF"/>
          <w:lang w:val="en-US"/>
        </w:rPr>
        <w:t>The scheduling restriction above means satisfying </w:t>
      </w:r>
      <w:proofErr w:type="gramStart"/>
      <w:r w:rsidRPr="007A7244">
        <w:rPr>
          <w:rFonts w:eastAsia="Yu Gothic UI"/>
          <w:color w:val="000000"/>
          <w:szCs w:val="22"/>
          <w:bdr w:val="none" w:sz="0" w:space="0" w:color="auto" w:frame="1"/>
          <w:shd w:val="clear" w:color="auto" w:fill="FFFFFF"/>
          <w:lang w:val="en-US"/>
        </w:rPr>
        <w:t>all of</w:t>
      </w:r>
      <w:proofErr w:type="gramEnd"/>
      <w:r w:rsidRPr="007A7244">
        <w:rPr>
          <w:rFonts w:eastAsia="Yu Gothic UI"/>
          <w:color w:val="000000"/>
          <w:szCs w:val="22"/>
          <w:bdr w:val="none" w:sz="0" w:space="0" w:color="auto" w:frame="1"/>
          <w:shd w:val="clear" w:color="auto" w:fill="FFFFFF"/>
          <w:lang w:val="en-US"/>
        </w:rPr>
        <w:t xml:space="preserve"> the following at least for other </w:t>
      </w:r>
      <w:r w:rsidRPr="007A7244">
        <w:rPr>
          <w:rFonts w:eastAsia="Yu Gothic UI"/>
          <w:szCs w:val="22"/>
          <w:bdr w:val="none" w:sz="0" w:space="0" w:color="auto" w:frame="1"/>
          <w:shd w:val="clear" w:color="auto" w:fill="FFFFFF"/>
          <w:lang w:val="en-US"/>
        </w:rPr>
        <w:t>than M-TRP PDSCH transmission with FDM 2a or FDM 2b scheme. </w:t>
      </w:r>
    </w:p>
    <w:p w14:paraId="3ABD89F8" w14:textId="77777777" w:rsidR="00421F46" w:rsidRPr="007A7244" w:rsidRDefault="00421F46" w:rsidP="00421F46">
      <w:pPr>
        <w:numPr>
          <w:ilvl w:val="1"/>
          <w:numId w:val="39"/>
        </w:numPr>
        <w:shd w:val="clear" w:color="auto" w:fill="FFFFFF"/>
        <w:overflowPunct/>
        <w:autoSpaceDE/>
        <w:autoSpaceDN/>
        <w:adjustRightInd/>
        <w:spacing w:after="0"/>
        <w:jc w:val="both"/>
        <w:textAlignment w:val="auto"/>
        <w:rPr>
          <w:rFonts w:eastAsia="Yu Gothic UI"/>
          <w:szCs w:val="22"/>
          <w:lang w:val="en-US"/>
        </w:rPr>
      </w:pPr>
      <w:r w:rsidRPr="007A7244">
        <w:rPr>
          <w:rFonts w:eastAsia="Yu Gothic UI"/>
          <w:szCs w:val="22"/>
          <w:bdr w:val="none" w:sz="0" w:space="0" w:color="auto" w:frame="1"/>
          <w:shd w:val="clear" w:color="auto" w:fill="FFFFFF"/>
          <w:lang w:val="en-US"/>
        </w:rPr>
        <w:t>1) The number of consecutively scheduled PRBs for PDSCH is even.</w:t>
      </w:r>
    </w:p>
    <w:p w14:paraId="1462D2FA" w14:textId="77777777" w:rsidR="00421F46" w:rsidRPr="007A7244" w:rsidRDefault="00421F46" w:rsidP="00421F46">
      <w:pPr>
        <w:numPr>
          <w:ilvl w:val="1"/>
          <w:numId w:val="39"/>
        </w:numPr>
        <w:shd w:val="clear" w:color="auto" w:fill="FFFFFF"/>
        <w:overflowPunct/>
        <w:autoSpaceDE/>
        <w:autoSpaceDN/>
        <w:adjustRightInd/>
        <w:spacing w:after="0"/>
        <w:jc w:val="both"/>
        <w:textAlignment w:val="auto"/>
        <w:rPr>
          <w:rFonts w:eastAsia="Yu Gothic UI"/>
          <w:szCs w:val="22"/>
          <w:lang w:val="en-US"/>
        </w:rPr>
      </w:pPr>
      <w:r w:rsidRPr="007A7244">
        <w:rPr>
          <w:rFonts w:eastAsia="Yu Gothic UI"/>
          <w:szCs w:val="22"/>
          <w:bdr w:val="none" w:sz="0" w:space="0" w:color="auto" w:frame="1"/>
          <w:lang w:val="en-US"/>
        </w:rPr>
        <w:t>2) The number of PRBs offset of scheduled PDSCH from point A (common resource block 0) is even.</w:t>
      </w:r>
    </w:p>
    <w:p w14:paraId="2E44792B" w14:textId="77777777" w:rsidR="00421F46" w:rsidRPr="007A7244" w:rsidRDefault="00421F46" w:rsidP="00421F46">
      <w:pPr>
        <w:numPr>
          <w:ilvl w:val="1"/>
          <w:numId w:val="39"/>
        </w:numPr>
        <w:shd w:val="clear" w:color="auto" w:fill="FFFFFF"/>
        <w:overflowPunct/>
        <w:autoSpaceDE/>
        <w:autoSpaceDN/>
        <w:adjustRightInd/>
        <w:spacing w:after="0"/>
        <w:jc w:val="both"/>
        <w:textAlignment w:val="auto"/>
        <w:rPr>
          <w:rFonts w:eastAsia="Yu Gothic UI"/>
          <w:szCs w:val="22"/>
          <w:lang w:val="en-US"/>
        </w:rPr>
      </w:pPr>
      <w:r w:rsidRPr="007A7244">
        <w:rPr>
          <w:rFonts w:eastAsia="Yu Gothic UI"/>
          <w:szCs w:val="22"/>
          <w:bdr w:val="none" w:sz="0" w:space="0" w:color="auto" w:frame="1"/>
          <w:lang w:val="en-US"/>
        </w:rPr>
        <w:t>3) FFS: Restriction on scheduling of different UEs in case of MU-MIMO.</w:t>
      </w:r>
    </w:p>
    <w:p w14:paraId="13E930E1" w14:textId="77777777" w:rsidR="00421F46" w:rsidRPr="007A7244" w:rsidRDefault="00421F46" w:rsidP="00421F46">
      <w:pPr>
        <w:numPr>
          <w:ilvl w:val="1"/>
          <w:numId w:val="39"/>
        </w:numPr>
        <w:shd w:val="clear" w:color="auto" w:fill="FFFFFF"/>
        <w:overflowPunct/>
        <w:autoSpaceDE/>
        <w:autoSpaceDN/>
        <w:adjustRightInd/>
        <w:spacing w:after="0"/>
        <w:jc w:val="both"/>
        <w:textAlignment w:val="auto"/>
        <w:rPr>
          <w:rFonts w:eastAsia="Yu Gothic UI"/>
          <w:szCs w:val="22"/>
          <w:lang w:val="en-US"/>
        </w:rPr>
      </w:pPr>
      <w:r w:rsidRPr="007A7244">
        <w:rPr>
          <w:rFonts w:eastAsia="Yu Gothic UI"/>
          <w:szCs w:val="22"/>
          <w:bdr w:val="none" w:sz="0" w:space="0" w:color="auto" w:frame="1"/>
          <w:shd w:val="clear" w:color="auto" w:fill="FFFFFF"/>
          <w:lang w:val="en-US"/>
        </w:rPr>
        <w:t>FFS: Scheduling restriction for M-TRP PDSCH transmission with FDM 2a or FDM 2b scheme.</w:t>
      </w:r>
    </w:p>
    <w:p w14:paraId="7404DB70" w14:textId="77777777" w:rsidR="00421F46" w:rsidRPr="007A7244" w:rsidRDefault="00421F46" w:rsidP="00421F46">
      <w:pPr>
        <w:numPr>
          <w:ilvl w:val="0"/>
          <w:numId w:val="39"/>
        </w:numPr>
        <w:shd w:val="clear" w:color="auto" w:fill="FFFFFF"/>
        <w:overflowPunct/>
        <w:autoSpaceDE/>
        <w:autoSpaceDN/>
        <w:adjustRightInd/>
        <w:spacing w:after="0"/>
        <w:jc w:val="both"/>
        <w:textAlignment w:val="auto"/>
        <w:rPr>
          <w:rFonts w:eastAsia="Yu Gothic UI"/>
          <w:szCs w:val="22"/>
          <w:lang w:val="en-US"/>
        </w:rPr>
      </w:pPr>
      <w:r w:rsidRPr="007A7244">
        <w:rPr>
          <w:rFonts w:eastAsia="Yu Gothic UI"/>
          <w:szCs w:val="22"/>
          <w:bdr w:val="none" w:sz="0" w:space="0" w:color="auto" w:frame="1"/>
          <w:shd w:val="clear" w:color="auto" w:fill="FFFFFF"/>
          <w:lang w:val="en-US"/>
        </w:rPr>
        <w:t>Note1: Up to UE how to implement DMRS channel estimation.</w:t>
      </w:r>
    </w:p>
    <w:p w14:paraId="79633E43" w14:textId="77777777" w:rsidR="00421F46" w:rsidRPr="007A7244" w:rsidRDefault="00421F46" w:rsidP="00421F46">
      <w:pPr>
        <w:numPr>
          <w:ilvl w:val="0"/>
          <w:numId w:val="39"/>
        </w:numPr>
        <w:shd w:val="clear" w:color="auto" w:fill="FFFFFF"/>
        <w:overflowPunct/>
        <w:autoSpaceDE/>
        <w:autoSpaceDN/>
        <w:adjustRightInd/>
        <w:spacing w:after="0"/>
        <w:jc w:val="both"/>
        <w:textAlignment w:val="auto"/>
        <w:rPr>
          <w:rFonts w:ascii="Yu Gothic UI" w:eastAsia="Yu Gothic UI" w:hAnsi="Yu Gothic UI" w:cs="Calibri"/>
          <w:color w:val="000000"/>
          <w:szCs w:val="22"/>
          <w:lang w:val="en-US"/>
        </w:rPr>
      </w:pPr>
      <w:r w:rsidRPr="007A7244">
        <w:rPr>
          <w:rFonts w:eastAsia="Yu Gothic UI"/>
          <w:szCs w:val="22"/>
          <w:bdr w:val="none" w:sz="0" w:space="0" w:color="auto" w:frame="1"/>
          <w:shd w:val="clear" w:color="auto" w:fill="FFFFFF"/>
          <w:lang w:val="en-US"/>
        </w:rPr>
        <w:t>Note2: No further RAN1 specification enhancement is introduced to handle the orphan REs (</w:t>
      </w:r>
      <w:proofErr w:type="gramStart"/>
      <w:r w:rsidRPr="007A7244">
        <w:rPr>
          <w:rFonts w:eastAsia="Yu Gothic UI"/>
          <w:szCs w:val="22"/>
          <w:bdr w:val="none" w:sz="0" w:space="0" w:color="auto" w:frame="1"/>
          <w:shd w:val="clear" w:color="auto" w:fill="FFFFFF"/>
          <w:lang w:val="en-US"/>
        </w:rPr>
        <w:t>e.g.</w:t>
      </w:r>
      <w:proofErr w:type="gramEnd"/>
      <w:r w:rsidRPr="007A7244">
        <w:rPr>
          <w:rFonts w:eastAsia="Yu Gothic UI"/>
          <w:szCs w:val="22"/>
          <w:bdr w:val="none" w:sz="0" w:space="0" w:color="auto" w:frame="1"/>
          <w:shd w:val="clear" w:color="auto" w:fill="FFFFFF"/>
          <w:lang w:val="en-US"/>
        </w:rPr>
        <w:t xml:space="preserve"> if the total number of REs of DMRS in a CDM</w:t>
      </w:r>
      <w:r w:rsidRPr="007A7244">
        <w:rPr>
          <w:rFonts w:eastAsia="Yu Gothic UI"/>
          <w:color w:val="000000"/>
          <w:szCs w:val="22"/>
          <w:bdr w:val="none" w:sz="0" w:space="0" w:color="auto" w:frame="1"/>
          <w:shd w:val="clear" w:color="auto" w:fill="FFFFFF"/>
          <w:lang w:val="en-US"/>
        </w:rPr>
        <w:t xml:space="preserve"> group is not multiples of 4, how to handle the remainder of REs) for UE that is scheduled PDSCH without the scheduling restriction.</w:t>
      </w:r>
    </w:p>
    <w:p w14:paraId="6F5883CD" w14:textId="77777777" w:rsidR="00421F46" w:rsidRPr="007A7244" w:rsidRDefault="00421F46" w:rsidP="00421F46">
      <w:pPr>
        <w:numPr>
          <w:ilvl w:val="0"/>
          <w:numId w:val="39"/>
        </w:numPr>
        <w:shd w:val="clear" w:color="auto" w:fill="FFFFFF"/>
        <w:overflowPunct/>
        <w:autoSpaceDE/>
        <w:autoSpaceDN/>
        <w:adjustRightInd/>
        <w:spacing w:after="0"/>
        <w:jc w:val="both"/>
        <w:textAlignment w:val="auto"/>
        <w:rPr>
          <w:rFonts w:ascii="Yu Gothic UI" w:eastAsia="Yu Gothic UI" w:hAnsi="Yu Gothic UI" w:cs="Calibri"/>
          <w:szCs w:val="22"/>
          <w:lang w:val="en-US"/>
        </w:rPr>
      </w:pPr>
      <w:r w:rsidRPr="007A7244">
        <w:rPr>
          <w:rFonts w:eastAsia="Yu Gothic UI"/>
          <w:szCs w:val="22"/>
          <w:bdr w:val="none" w:sz="0" w:space="0" w:color="auto" w:frame="1"/>
          <w:shd w:val="clear" w:color="auto" w:fill="FFFFFF"/>
          <w:lang w:val="en-US"/>
        </w:rPr>
        <w:t>Note 3: Other scheduling restrictions, if identified in future meetings, are not precluded.</w:t>
      </w:r>
    </w:p>
    <w:p w14:paraId="66353316" w14:textId="0BA1C10F" w:rsidR="00421F46" w:rsidRDefault="00421F46" w:rsidP="00421F46">
      <w:pPr>
        <w:rPr>
          <w:lang w:val="en-US"/>
        </w:rPr>
      </w:pPr>
    </w:p>
    <w:p w14:paraId="5778261A" w14:textId="5DE1DE1C" w:rsidR="00421F46" w:rsidRDefault="00421F46" w:rsidP="00421F46">
      <w:pPr>
        <w:rPr>
          <w:lang w:val="en-US"/>
        </w:rPr>
      </w:pPr>
      <w:r>
        <w:rPr>
          <w:lang w:val="en-US"/>
        </w:rPr>
        <w:t>Based on above agreement, UE capability for handling orphan REs shall be introduced.</w:t>
      </w:r>
    </w:p>
    <w:p w14:paraId="1617BDA6" w14:textId="4D7666E4" w:rsidR="000F0855" w:rsidRPr="005505C2" w:rsidRDefault="00CA50AB" w:rsidP="005505C2">
      <w:pPr>
        <w:pStyle w:val="Proposal"/>
        <w:rPr>
          <w:lang w:val="en-US"/>
        </w:rPr>
      </w:pPr>
      <w:bookmarkStart w:id="7" w:name="_Toc135039474"/>
      <w:r w:rsidRPr="005505C2">
        <w:rPr>
          <w:lang w:val="en-US"/>
        </w:rPr>
        <w:t xml:space="preserve">Introduce UE capability for orphan RE handling </w:t>
      </w:r>
      <w:r w:rsidR="005505C2">
        <w:rPr>
          <w:lang w:val="en-US"/>
        </w:rPr>
        <w:t>as below.</w:t>
      </w:r>
      <w:bookmarkEnd w:id="7"/>
    </w:p>
    <w:p w14:paraId="1D7B9AC8" w14:textId="76A4FA84" w:rsidR="00922BB1" w:rsidRDefault="00922BB1" w:rsidP="00922BB1">
      <w:pPr>
        <w:pStyle w:val="Heading4"/>
      </w:pPr>
    </w:p>
    <w:tbl>
      <w:tblPr>
        <w:tblW w:w="10620" w:type="dxa"/>
        <w:tblInd w:w="-27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1530"/>
        <w:gridCol w:w="5490"/>
        <w:gridCol w:w="1080"/>
        <w:gridCol w:w="1260"/>
        <w:gridCol w:w="1260"/>
      </w:tblGrid>
      <w:tr w:rsidR="00620388" w:rsidRPr="00820EEC" w14:paraId="5BCBF6A4" w14:textId="77777777" w:rsidTr="00833379">
        <w:trPr>
          <w:trHeight w:val="15"/>
        </w:trPr>
        <w:tc>
          <w:tcPr>
            <w:tcW w:w="1530" w:type="dxa"/>
            <w:tcBorders>
              <w:top w:val="single" w:sz="6" w:space="0" w:color="auto"/>
              <w:left w:val="single" w:sz="6" w:space="0" w:color="auto"/>
              <w:bottom w:val="single" w:sz="6" w:space="0" w:color="auto"/>
              <w:right w:val="single" w:sz="6" w:space="0" w:color="auto"/>
            </w:tcBorders>
            <w:shd w:val="clear" w:color="auto" w:fill="auto"/>
            <w:hideMark/>
          </w:tcPr>
          <w:p w14:paraId="6CE14B1C" w14:textId="77777777" w:rsidR="00620388" w:rsidRPr="00820EEC" w:rsidRDefault="00620388">
            <w:pPr>
              <w:overflowPunct/>
              <w:autoSpaceDE/>
              <w:autoSpaceDN/>
              <w:adjustRightInd/>
              <w:spacing w:after="0"/>
              <w:jc w:val="center"/>
              <w:rPr>
                <w:rFonts w:eastAsia="Times New Roman"/>
                <w:b/>
                <w:sz w:val="24"/>
                <w:szCs w:val="24"/>
                <w:lang w:eastAsia="zh-CN"/>
              </w:rPr>
            </w:pPr>
            <w:r w:rsidRPr="00820EEC">
              <w:rPr>
                <w:rFonts w:ascii="Arial" w:eastAsia="Times New Roman" w:hAnsi="Arial" w:cs="Arial"/>
                <w:b/>
                <w:bCs/>
                <w:color w:val="000000"/>
                <w:sz w:val="18"/>
                <w:szCs w:val="18"/>
                <w:lang w:eastAsia="zh-CN"/>
              </w:rPr>
              <w:t>Feature group</w:t>
            </w:r>
            <w:r w:rsidRPr="00820EEC">
              <w:rPr>
                <w:rFonts w:ascii="Arial" w:eastAsia="Times New Roman" w:hAnsi="Arial" w:cs="Arial"/>
                <w:b/>
                <w:color w:val="000000"/>
                <w:sz w:val="18"/>
                <w:szCs w:val="18"/>
                <w:lang w:eastAsia="zh-CN"/>
              </w:rPr>
              <w:t> </w:t>
            </w:r>
          </w:p>
        </w:tc>
        <w:tc>
          <w:tcPr>
            <w:tcW w:w="5490" w:type="dxa"/>
            <w:tcBorders>
              <w:top w:val="single" w:sz="6" w:space="0" w:color="auto"/>
              <w:left w:val="single" w:sz="6" w:space="0" w:color="auto"/>
              <w:bottom w:val="single" w:sz="6" w:space="0" w:color="auto"/>
              <w:right w:val="single" w:sz="6" w:space="0" w:color="auto"/>
            </w:tcBorders>
            <w:shd w:val="clear" w:color="auto" w:fill="auto"/>
            <w:hideMark/>
          </w:tcPr>
          <w:p w14:paraId="1A0B58BA" w14:textId="77777777" w:rsidR="00620388" w:rsidRPr="00820EEC" w:rsidRDefault="00620388">
            <w:pPr>
              <w:overflowPunct/>
              <w:autoSpaceDE/>
              <w:autoSpaceDN/>
              <w:adjustRightInd/>
              <w:spacing w:after="0"/>
              <w:jc w:val="center"/>
              <w:rPr>
                <w:rFonts w:eastAsia="Times New Roman"/>
                <w:b/>
                <w:sz w:val="24"/>
                <w:szCs w:val="24"/>
                <w:lang w:eastAsia="zh-CN"/>
              </w:rPr>
            </w:pPr>
            <w:r w:rsidRPr="00820EEC">
              <w:rPr>
                <w:rFonts w:ascii="Arial" w:eastAsia="Times New Roman" w:hAnsi="Arial" w:cs="Arial"/>
                <w:b/>
                <w:bCs/>
                <w:color w:val="000000"/>
                <w:sz w:val="18"/>
                <w:szCs w:val="18"/>
                <w:lang w:eastAsia="zh-CN"/>
              </w:rPr>
              <w:t>Components</w:t>
            </w:r>
            <w:r w:rsidRPr="00820EEC">
              <w:rPr>
                <w:rFonts w:ascii="Arial" w:eastAsia="Times New Roman" w:hAnsi="Arial" w:cs="Arial"/>
                <w:b/>
                <w:color w:val="000000"/>
                <w:sz w:val="18"/>
                <w:szCs w:val="18"/>
                <w:lang w:eastAsia="zh-CN"/>
              </w:rPr>
              <w:t> </w:t>
            </w:r>
          </w:p>
        </w:tc>
        <w:tc>
          <w:tcPr>
            <w:tcW w:w="1080" w:type="dxa"/>
            <w:tcBorders>
              <w:top w:val="single" w:sz="6" w:space="0" w:color="auto"/>
              <w:left w:val="single" w:sz="6" w:space="0" w:color="auto"/>
              <w:bottom w:val="single" w:sz="6" w:space="0" w:color="auto"/>
              <w:right w:val="single" w:sz="6" w:space="0" w:color="auto"/>
            </w:tcBorders>
            <w:shd w:val="clear" w:color="auto" w:fill="auto"/>
            <w:hideMark/>
          </w:tcPr>
          <w:p w14:paraId="524EFD45" w14:textId="77777777" w:rsidR="00620388" w:rsidRPr="00820EEC" w:rsidRDefault="00620388">
            <w:pPr>
              <w:overflowPunct/>
              <w:autoSpaceDE/>
              <w:autoSpaceDN/>
              <w:adjustRightInd/>
              <w:spacing w:after="0"/>
              <w:rPr>
                <w:rFonts w:eastAsia="Times New Roman"/>
                <w:sz w:val="24"/>
                <w:szCs w:val="24"/>
                <w:lang w:eastAsia="zh-CN"/>
              </w:rPr>
            </w:pPr>
            <w:r w:rsidRPr="00820EEC">
              <w:rPr>
                <w:rFonts w:ascii="Arial" w:eastAsia="Times New Roman" w:hAnsi="Arial" w:cs="Arial"/>
                <w:b/>
                <w:bCs/>
                <w:color w:val="000000"/>
                <w:sz w:val="18"/>
                <w:szCs w:val="18"/>
                <w:lang w:val="en-US" w:eastAsia="zh-CN"/>
              </w:rPr>
              <w:t>Type</w:t>
            </w:r>
            <w:r w:rsidRPr="00820EEC">
              <w:rPr>
                <w:rFonts w:ascii="Arial" w:eastAsia="Times New Roman" w:hAnsi="Arial" w:cs="Arial"/>
                <w:color w:val="000000"/>
                <w:sz w:val="18"/>
                <w:szCs w:val="18"/>
                <w:lang w:eastAsia="zh-CN"/>
              </w:rPr>
              <w:t> </w:t>
            </w:r>
          </w:p>
          <w:p w14:paraId="3B571782" w14:textId="105757BE" w:rsidR="00620388" w:rsidRPr="00820EEC" w:rsidRDefault="00620388">
            <w:pPr>
              <w:overflowPunct/>
              <w:autoSpaceDE/>
              <w:autoSpaceDN/>
              <w:adjustRightInd/>
              <w:spacing w:after="0"/>
              <w:rPr>
                <w:rFonts w:eastAsia="Times New Roman"/>
                <w:sz w:val="24"/>
                <w:szCs w:val="24"/>
                <w:lang w:eastAsia="zh-CN"/>
              </w:rPr>
            </w:pPr>
          </w:p>
        </w:tc>
        <w:tc>
          <w:tcPr>
            <w:tcW w:w="1260" w:type="dxa"/>
            <w:tcBorders>
              <w:top w:val="single" w:sz="6" w:space="0" w:color="auto"/>
              <w:left w:val="single" w:sz="6" w:space="0" w:color="auto"/>
              <w:bottom w:val="single" w:sz="6" w:space="0" w:color="auto"/>
              <w:right w:val="single" w:sz="6" w:space="0" w:color="auto"/>
            </w:tcBorders>
            <w:shd w:val="clear" w:color="auto" w:fill="auto"/>
            <w:hideMark/>
          </w:tcPr>
          <w:p w14:paraId="172DAF18" w14:textId="77777777" w:rsidR="00620388" w:rsidRPr="00820EEC" w:rsidRDefault="00620388">
            <w:pPr>
              <w:overflowPunct/>
              <w:autoSpaceDE/>
              <w:autoSpaceDN/>
              <w:adjustRightInd/>
              <w:spacing w:after="0"/>
              <w:jc w:val="center"/>
              <w:rPr>
                <w:rFonts w:eastAsia="Times New Roman"/>
                <w:b/>
                <w:sz w:val="24"/>
                <w:szCs w:val="24"/>
                <w:lang w:eastAsia="zh-CN"/>
              </w:rPr>
            </w:pPr>
            <w:r w:rsidRPr="00820EEC">
              <w:rPr>
                <w:rFonts w:ascii="Arial" w:eastAsia="Times New Roman" w:hAnsi="Arial" w:cs="Arial"/>
                <w:b/>
                <w:bCs/>
                <w:color w:val="000000"/>
                <w:sz w:val="18"/>
                <w:szCs w:val="18"/>
                <w:lang w:eastAsia="zh-CN"/>
              </w:rPr>
              <w:t>Need of FDD/TDD differentiation</w:t>
            </w:r>
            <w:r w:rsidRPr="00820EEC">
              <w:rPr>
                <w:rFonts w:ascii="Arial" w:eastAsia="Times New Roman" w:hAnsi="Arial" w:cs="Arial"/>
                <w:b/>
                <w:color w:val="000000"/>
                <w:sz w:val="18"/>
                <w:szCs w:val="18"/>
                <w:lang w:eastAsia="zh-CN"/>
              </w:rPr>
              <w:t> </w:t>
            </w:r>
          </w:p>
        </w:tc>
        <w:tc>
          <w:tcPr>
            <w:tcW w:w="1260" w:type="dxa"/>
            <w:tcBorders>
              <w:top w:val="single" w:sz="6" w:space="0" w:color="auto"/>
              <w:left w:val="single" w:sz="6" w:space="0" w:color="auto"/>
              <w:bottom w:val="single" w:sz="6" w:space="0" w:color="auto"/>
              <w:right w:val="single" w:sz="6" w:space="0" w:color="auto"/>
            </w:tcBorders>
            <w:shd w:val="clear" w:color="auto" w:fill="auto"/>
            <w:hideMark/>
          </w:tcPr>
          <w:p w14:paraId="4EA2EF87" w14:textId="77777777" w:rsidR="00620388" w:rsidRPr="00820EEC" w:rsidRDefault="00620388">
            <w:pPr>
              <w:overflowPunct/>
              <w:autoSpaceDE/>
              <w:autoSpaceDN/>
              <w:adjustRightInd/>
              <w:spacing w:after="0"/>
              <w:jc w:val="center"/>
              <w:rPr>
                <w:rFonts w:eastAsia="Times New Roman"/>
                <w:b/>
                <w:sz w:val="24"/>
                <w:szCs w:val="24"/>
                <w:lang w:eastAsia="zh-CN"/>
              </w:rPr>
            </w:pPr>
            <w:r w:rsidRPr="00820EEC">
              <w:rPr>
                <w:rFonts w:ascii="Arial" w:eastAsia="Times New Roman" w:hAnsi="Arial" w:cs="Arial"/>
                <w:b/>
                <w:bCs/>
                <w:color w:val="000000"/>
                <w:sz w:val="18"/>
                <w:szCs w:val="18"/>
                <w:lang w:eastAsia="zh-CN"/>
              </w:rPr>
              <w:t>Need of FR1/FR2 differentiation</w:t>
            </w:r>
            <w:r w:rsidRPr="00820EEC">
              <w:rPr>
                <w:rFonts w:ascii="Arial" w:eastAsia="Times New Roman" w:hAnsi="Arial" w:cs="Arial"/>
                <w:b/>
                <w:color w:val="000000"/>
                <w:sz w:val="18"/>
                <w:szCs w:val="18"/>
                <w:lang w:eastAsia="zh-CN"/>
              </w:rPr>
              <w:t> </w:t>
            </w:r>
          </w:p>
        </w:tc>
      </w:tr>
      <w:tr w:rsidR="00620388" w:rsidRPr="00820EEC" w14:paraId="3045A580" w14:textId="77777777" w:rsidTr="00833379">
        <w:trPr>
          <w:trHeight w:val="15"/>
        </w:trPr>
        <w:tc>
          <w:tcPr>
            <w:tcW w:w="1530" w:type="dxa"/>
            <w:tcBorders>
              <w:top w:val="single" w:sz="6" w:space="0" w:color="auto"/>
              <w:left w:val="single" w:sz="6" w:space="0" w:color="auto"/>
              <w:bottom w:val="single" w:sz="6" w:space="0" w:color="auto"/>
              <w:right w:val="single" w:sz="6" w:space="0" w:color="auto"/>
            </w:tcBorders>
            <w:shd w:val="clear" w:color="auto" w:fill="auto"/>
          </w:tcPr>
          <w:p w14:paraId="2F510AF6" w14:textId="3A2A4C5D" w:rsidR="00620388" w:rsidRPr="00820EEC" w:rsidRDefault="00620388">
            <w:pPr>
              <w:overflowPunct/>
              <w:autoSpaceDE/>
              <w:autoSpaceDN/>
              <w:adjustRightInd/>
              <w:spacing w:after="0"/>
              <w:rPr>
                <w:rFonts w:eastAsia="Times New Roman"/>
                <w:sz w:val="24"/>
                <w:szCs w:val="24"/>
                <w:lang w:eastAsia="zh-CN"/>
              </w:rPr>
            </w:pPr>
            <w:r>
              <w:rPr>
                <w:rFonts w:eastAsia="Times New Roman"/>
                <w:sz w:val="24"/>
                <w:szCs w:val="24"/>
                <w:lang w:eastAsia="zh-CN"/>
              </w:rPr>
              <w:t xml:space="preserve">Orphan RE handling </w:t>
            </w:r>
          </w:p>
        </w:tc>
        <w:tc>
          <w:tcPr>
            <w:tcW w:w="5490" w:type="dxa"/>
            <w:tcBorders>
              <w:top w:val="single" w:sz="6" w:space="0" w:color="auto"/>
              <w:left w:val="single" w:sz="6" w:space="0" w:color="auto"/>
              <w:bottom w:val="single" w:sz="6" w:space="0" w:color="auto"/>
              <w:right w:val="single" w:sz="6" w:space="0" w:color="auto"/>
            </w:tcBorders>
            <w:shd w:val="clear" w:color="auto" w:fill="auto"/>
          </w:tcPr>
          <w:p w14:paraId="531E47E6" w14:textId="40F9D26A" w:rsidR="00620388" w:rsidRPr="00F35EF4" w:rsidRDefault="00620388" w:rsidP="00F35EF4">
            <w:pPr>
              <w:overflowPunct/>
              <w:autoSpaceDE/>
              <w:autoSpaceDN/>
              <w:adjustRightInd/>
              <w:rPr>
                <w:rFonts w:ascii="Arial" w:eastAsia="Times New Roman" w:hAnsi="Arial" w:cs="Arial"/>
                <w:sz w:val="18"/>
                <w:szCs w:val="18"/>
                <w:lang w:eastAsia="zh-CN"/>
              </w:rPr>
            </w:pPr>
            <w:r>
              <w:rPr>
                <w:rFonts w:ascii="Arial" w:eastAsia="Times New Roman" w:hAnsi="Arial" w:cs="Arial"/>
                <w:sz w:val="18"/>
                <w:szCs w:val="18"/>
                <w:lang w:eastAsia="zh-CN"/>
              </w:rPr>
              <w:t xml:space="preserve">1. </w:t>
            </w:r>
            <w:r w:rsidRPr="00F35EF4">
              <w:rPr>
                <w:rFonts w:ascii="Arial" w:eastAsia="Times New Roman" w:hAnsi="Arial" w:cs="Arial"/>
                <w:sz w:val="18"/>
                <w:szCs w:val="18"/>
                <w:lang w:eastAsia="zh-CN"/>
              </w:rPr>
              <w:t>Number of consecutively scheduled PRBs for PDSCH is even</w:t>
            </w:r>
            <w:r w:rsidR="00B83A6A">
              <w:rPr>
                <w:rFonts w:ascii="Arial" w:eastAsia="Times New Roman" w:hAnsi="Arial" w:cs="Arial"/>
                <w:sz w:val="18"/>
                <w:szCs w:val="18"/>
                <w:lang w:eastAsia="zh-CN"/>
              </w:rPr>
              <w:t>,</w:t>
            </w:r>
            <w:r w:rsidR="00023453">
              <w:rPr>
                <w:rFonts w:ascii="Arial" w:eastAsia="Times New Roman" w:hAnsi="Arial" w:cs="Arial"/>
                <w:sz w:val="18"/>
                <w:szCs w:val="18"/>
                <w:lang w:eastAsia="zh-CN"/>
              </w:rPr>
              <w:t xml:space="preserve"> and n</w:t>
            </w:r>
            <w:r w:rsidRPr="00F35EF4">
              <w:rPr>
                <w:rFonts w:ascii="Arial" w:eastAsia="Times New Roman" w:hAnsi="Arial" w:cs="Arial"/>
                <w:sz w:val="18"/>
                <w:szCs w:val="18"/>
                <w:lang w:eastAsia="zh-CN"/>
              </w:rPr>
              <w:t xml:space="preserve">umber of PRB </w:t>
            </w:r>
            <w:r w:rsidR="008741F6">
              <w:rPr>
                <w:rFonts w:ascii="Arial" w:eastAsia="Times New Roman" w:hAnsi="Arial" w:cs="Arial"/>
                <w:sz w:val="18"/>
                <w:szCs w:val="18"/>
                <w:lang w:eastAsia="zh-CN"/>
              </w:rPr>
              <w:t xml:space="preserve">starting </w:t>
            </w:r>
            <w:r w:rsidRPr="00F35EF4">
              <w:rPr>
                <w:rFonts w:ascii="Arial" w:eastAsia="Times New Roman" w:hAnsi="Arial" w:cs="Arial"/>
                <w:sz w:val="18"/>
                <w:szCs w:val="18"/>
                <w:lang w:eastAsia="zh-CN"/>
              </w:rPr>
              <w:t>offset of scheduled PDSCH from CRB0 is even.</w:t>
            </w:r>
          </w:p>
        </w:tc>
        <w:tc>
          <w:tcPr>
            <w:tcW w:w="1080" w:type="dxa"/>
            <w:tcBorders>
              <w:top w:val="single" w:sz="6" w:space="0" w:color="auto"/>
              <w:left w:val="single" w:sz="6" w:space="0" w:color="auto"/>
              <w:bottom w:val="single" w:sz="6" w:space="0" w:color="auto"/>
              <w:right w:val="single" w:sz="6" w:space="0" w:color="auto"/>
            </w:tcBorders>
            <w:shd w:val="clear" w:color="auto" w:fill="auto"/>
          </w:tcPr>
          <w:p w14:paraId="5CB717AF" w14:textId="02F582A7" w:rsidR="00620388" w:rsidRPr="00820EEC" w:rsidRDefault="00620388">
            <w:pPr>
              <w:overflowPunct/>
              <w:autoSpaceDE/>
              <w:autoSpaceDN/>
              <w:adjustRightInd/>
              <w:spacing w:after="0"/>
              <w:rPr>
                <w:rFonts w:eastAsia="Times New Roman"/>
                <w:sz w:val="24"/>
                <w:szCs w:val="24"/>
                <w:lang w:eastAsia="zh-CN"/>
              </w:rPr>
            </w:pPr>
            <w:r>
              <w:rPr>
                <w:rFonts w:eastAsia="Times New Roman"/>
                <w:sz w:val="24"/>
                <w:szCs w:val="24"/>
                <w:lang w:eastAsia="zh-CN"/>
              </w:rPr>
              <w:t>Per UE</w:t>
            </w:r>
            <w:r w:rsidR="00833379">
              <w:rPr>
                <w:rFonts w:eastAsia="Times New Roman"/>
                <w:sz w:val="24"/>
                <w:szCs w:val="24"/>
                <w:lang w:eastAsia="zh-CN"/>
              </w:rPr>
              <w:t xml:space="preserve"> or Per Band</w:t>
            </w:r>
          </w:p>
        </w:tc>
        <w:tc>
          <w:tcPr>
            <w:tcW w:w="1260" w:type="dxa"/>
            <w:tcBorders>
              <w:top w:val="single" w:sz="6" w:space="0" w:color="auto"/>
              <w:left w:val="single" w:sz="6" w:space="0" w:color="auto"/>
              <w:bottom w:val="single" w:sz="6" w:space="0" w:color="auto"/>
              <w:right w:val="single" w:sz="6" w:space="0" w:color="auto"/>
            </w:tcBorders>
            <w:shd w:val="clear" w:color="auto" w:fill="auto"/>
          </w:tcPr>
          <w:p w14:paraId="77146AD0" w14:textId="21138B4F" w:rsidR="00620388" w:rsidRPr="00820EEC" w:rsidRDefault="00620388">
            <w:pPr>
              <w:overflowPunct/>
              <w:autoSpaceDE/>
              <w:autoSpaceDN/>
              <w:adjustRightInd/>
              <w:spacing w:after="0"/>
              <w:rPr>
                <w:rFonts w:eastAsia="Times New Roman"/>
                <w:sz w:val="24"/>
                <w:szCs w:val="24"/>
                <w:lang w:eastAsia="zh-CN"/>
              </w:rPr>
            </w:pPr>
            <w:r>
              <w:rPr>
                <w:rFonts w:eastAsia="Times New Roman"/>
                <w:sz w:val="24"/>
                <w:szCs w:val="24"/>
                <w:lang w:eastAsia="zh-CN"/>
              </w:rPr>
              <w:t>No</w:t>
            </w:r>
          </w:p>
        </w:tc>
        <w:tc>
          <w:tcPr>
            <w:tcW w:w="1260" w:type="dxa"/>
            <w:tcBorders>
              <w:top w:val="single" w:sz="6" w:space="0" w:color="auto"/>
              <w:left w:val="single" w:sz="6" w:space="0" w:color="auto"/>
              <w:bottom w:val="single" w:sz="6" w:space="0" w:color="auto"/>
              <w:right w:val="single" w:sz="6" w:space="0" w:color="auto"/>
            </w:tcBorders>
            <w:shd w:val="clear" w:color="auto" w:fill="auto"/>
          </w:tcPr>
          <w:p w14:paraId="6552B063" w14:textId="34FA77CB" w:rsidR="00620388" w:rsidRPr="00820EEC" w:rsidRDefault="00620388">
            <w:pPr>
              <w:overflowPunct/>
              <w:autoSpaceDE/>
              <w:autoSpaceDN/>
              <w:adjustRightInd/>
              <w:spacing w:after="0"/>
              <w:rPr>
                <w:rFonts w:eastAsia="Times New Roman"/>
                <w:sz w:val="24"/>
                <w:szCs w:val="24"/>
                <w:lang w:eastAsia="zh-CN"/>
              </w:rPr>
            </w:pPr>
            <w:r>
              <w:rPr>
                <w:rFonts w:eastAsia="Times New Roman"/>
                <w:sz w:val="24"/>
                <w:szCs w:val="24"/>
                <w:lang w:eastAsia="zh-CN"/>
              </w:rPr>
              <w:t>No</w:t>
            </w:r>
          </w:p>
        </w:tc>
      </w:tr>
    </w:tbl>
    <w:p w14:paraId="3371F0DB" w14:textId="3531D6D4" w:rsidR="008D6EDE" w:rsidRDefault="008D6EDE" w:rsidP="008D6EDE"/>
    <w:p w14:paraId="7248FD79" w14:textId="481CF7E5" w:rsidR="004821ED" w:rsidRDefault="004821ED">
      <w:pPr>
        <w:overflowPunct/>
        <w:autoSpaceDE/>
        <w:autoSpaceDN/>
        <w:adjustRightInd/>
        <w:spacing w:after="0"/>
        <w:textAlignment w:val="auto"/>
        <w:rPr>
          <w:lang w:val="en-US"/>
        </w:rPr>
      </w:pPr>
      <w:r>
        <w:rPr>
          <w:lang w:val="en-US"/>
        </w:rPr>
        <w:br w:type="page"/>
      </w:r>
    </w:p>
    <w:p w14:paraId="1A5ED71F" w14:textId="77777777" w:rsidR="00820EEC" w:rsidRPr="00AA6E07" w:rsidRDefault="00820EEC" w:rsidP="00AA6E07">
      <w:pPr>
        <w:rPr>
          <w:lang w:val="en-US"/>
        </w:rPr>
      </w:pPr>
    </w:p>
    <w:p w14:paraId="47967A96" w14:textId="0C34969B" w:rsidR="000D7BEE" w:rsidRPr="009C2AD8" w:rsidRDefault="000D7BEE" w:rsidP="000D7BEE">
      <w:pPr>
        <w:pStyle w:val="Heading1"/>
        <w:rPr>
          <w:lang w:val="en-US"/>
        </w:rPr>
      </w:pPr>
      <w:r>
        <w:rPr>
          <w:lang w:val="en-US"/>
        </w:rPr>
        <w:t>3</w:t>
      </w:r>
      <w:r w:rsidRPr="00A85EAA">
        <w:rPr>
          <w:lang w:val="en-US"/>
        </w:rPr>
        <w:tab/>
      </w:r>
      <w:r w:rsidRPr="00B92121">
        <w:rPr>
          <w:lang w:val="en-US"/>
        </w:rPr>
        <w:t>Guidelines for UE capability definitions</w:t>
      </w:r>
    </w:p>
    <w:p w14:paraId="72E99B64" w14:textId="6077F45A" w:rsidR="000D7BEE" w:rsidRDefault="000D7BEE" w:rsidP="001D61A0">
      <w:pPr>
        <w:pStyle w:val="BodyText"/>
        <w:rPr>
          <w:b/>
          <w:bCs/>
          <w:lang w:val="en-US"/>
        </w:rPr>
      </w:pPr>
      <w:r w:rsidRPr="00284C26">
        <w:rPr>
          <w:lang w:val="en-US"/>
        </w:rPr>
        <w:t xml:space="preserve">It is beneficial to recall RAN2’s guidelines for UE capability definitions, as documented in the RAN2 LS </w:t>
      </w:r>
      <w:r>
        <w:rPr>
          <w:b/>
          <w:bCs/>
        </w:rPr>
        <w:fldChar w:fldCharType="begin"/>
      </w:r>
      <w:r w:rsidRPr="00284C26">
        <w:rPr>
          <w:lang w:val="en-US"/>
        </w:rPr>
        <w:instrText xml:space="preserve"> REF _Ref83273940 \r \h </w:instrText>
      </w:r>
      <w:r w:rsidR="001D61A0">
        <w:rPr>
          <w:b/>
          <w:bCs/>
        </w:rPr>
        <w:instrText xml:space="preserve"> \* MERGEFORMAT </w:instrText>
      </w:r>
      <w:r>
        <w:rPr>
          <w:b/>
          <w:bCs/>
        </w:rPr>
      </w:r>
      <w:r>
        <w:rPr>
          <w:b/>
          <w:bCs/>
        </w:rPr>
        <w:fldChar w:fldCharType="separate"/>
      </w:r>
      <w:r w:rsidR="00A2085F">
        <w:rPr>
          <w:lang w:val="en-US"/>
        </w:rPr>
        <w:t>[1]</w:t>
      </w:r>
      <w:r>
        <w:rPr>
          <w:b/>
          <w:bCs/>
        </w:rPr>
        <w:fldChar w:fldCharType="end"/>
      </w:r>
      <w:r w:rsidRPr="00284C26">
        <w:rPr>
          <w:lang w:val="en-US"/>
        </w:rPr>
        <w:t xml:space="preserve"> and</w:t>
      </w:r>
      <w:r>
        <w:rPr>
          <w:lang w:val="en-US"/>
        </w:rPr>
        <w:t xml:space="preserve"> </w:t>
      </w:r>
      <w:r w:rsidRPr="00284C26">
        <w:rPr>
          <w:lang w:val="en-US"/>
        </w:rPr>
        <w:t>copied below:</w:t>
      </w:r>
    </w:p>
    <w:p w14:paraId="5F77AF5F" w14:textId="77777777" w:rsidR="000D7BEE" w:rsidRPr="00284C26" w:rsidRDefault="000D7BEE" w:rsidP="000D7BEE">
      <w:pPr>
        <w:pStyle w:val="Proposal"/>
        <w:numPr>
          <w:ilvl w:val="0"/>
          <w:numId w:val="0"/>
        </w:numPr>
        <w:ind w:left="1701" w:hanging="1701"/>
        <w:rPr>
          <w:rFonts w:cs="Arial"/>
          <w:b w:val="0"/>
          <w:bCs w:val="0"/>
          <w:lang w:val="en-US"/>
        </w:rPr>
      </w:pPr>
    </w:p>
    <w:p w14:paraId="06FB2F70" w14:textId="77777777" w:rsidR="000D7BEE" w:rsidRPr="009E1BA8" w:rsidRDefault="000D7BEE" w:rsidP="000D7BEE">
      <w:pPr>
        <w:spacing w:after="120"/>
        <w:ind w:left="567"/>
        <w:jc w:val="both"/>
        <w:rPr>
          <w:rFonts w:ascii="Arial" w:hAnsi="Arial" w:cs="Arial"/>
          <w:b/>
          <w:bCs/>
          <w:color w:val="000000"/>
        </w:rPr>
      </w:pPr>
      <w:r w:rsidRPr="009E1BA8">
        <w:rPr>
          <w:rFonts w:ascii="Arial" w:hAnsi="Arial" w:cs="Arial"/>
          <w:b/>
          <w:bCs/>
          <w:color w:val="000000"/>
        </w:rPr>
        <w:t>1</w:t>
      </w:r>
      <w:r w:rsidRPr="009E1BA8">
        <w:rPr>
          <w:rFonts w:ascii="Arial" w:hAnsi="Arial" w:cs="Arial"/>
          <w:b/>
          <w:bCs/>
          <w:color w:val="000000"/>
        </w:rPr>
        <w:tab/>
      </w:r>
      <w:r w:rsidRPr="004540FB">
        <w:rPr>
          <w:rFonts w:ascii="Arial" w:hAnsi="Arial" w:cs="Arial"/>
          <w:b/>
          <w:bCs/>
          <w:color w:val="000000"/>
        </w:rPr>
        <w:t>Avoid defining “incapability” bits as they may cause interpretation issues</w:t>
      </w:r>
    </w:p>
    <w:p w14:paraId="6D578293" w14:textId="77777777" w:rsidR="000D7BEE" w:rsidRPr="00A1545D" w:rsidRDefault="000D7BEE" w:rsidP="000D7BEE">
      <w:pPr>
        <w:spacing w:after="120"/>
        <w:ind w:left="567"/>
        <w:jc w:val="both"/>
        <w:rPr>
          <w:rFonts w:ascii="Arial" w:hAnsi="Arial" w:cs="Arial"/>
          <w:color w:val="000000"/>
        </w:rPr>
      </w:pPr>
      <w:r w:rsidRPr="00A1545D">
        <w:rPr>
          <w:rFonts w:ascii="Arial" w:hAnsi="Arial" w:cs="Arial"/>
          <w:color w:val="000000"/>
        </w:rPr>
        <w:t xml:space="preserve">The definition of the capability should not say that “a UE setting the bit does not support Rel-16 feature X”. Such statements caused a lot of problems in Rel-15. </w:t>
      </w:r>
      <w:r>
        <w:rPr>
          <w:rFonts w:ascii="Arial" w:hAnsi="Arial" w:cs="Arial"/>
          <w:color w:val="000000"/>
        </w:rPr>
        <w:t xml:space="preserve">One example was the </w:t>
      </w:r>
      <w:r w:rsidRPr="00C7464E">
        <w:rPr>
          <w:rFonts w:ascii="Arial" w:hAnsi="Arial" w:cs="Arial"/>
          <w:i/>
          <w:iCs/>
          <w:color w:val="000000"/>
        </w:rPr>
        <w:t>pucch-F0-2WithoutFH</w:t>
      </w:r>
      <w:r>
        <w:rPr>
          <w:rFonts w:ascii="Arial" w:hAnsi="Arial" w:cs="Arial"/>
          <w:color w:val="000000"/>
        </w:rPr>
        <w:t xml:space="preserve"> that indicates that “</w:t>
      </w:r>
      <w:r w:rsidRPr="00C7464E">
        <w:rPr>
          <w:rFonts w:ascii="Arial" w:hAnsi="Arial" w:cs="Arial"/>
          <w:color w:val="000000"/>
        </w:rPr>
        <w:t xml:space="preserve">the UE does </w:t>
      </w:r>
      <w:r w:rsidRPr="00C7464E">
        <w:rPr>
          <w:rFonts w:ascii="Arial" w:hAnsi="Arial" w:cs="Arial"/>
          <w:b/>
          <w:bCs/>
          <w:color w:val="000000"/>
        </w:rPr>
        <w:t>not</w:t>
      </w:r>
      <w:r w:rsidRPr="00C7464E">
        <w:rPr>
          <w:rFonts w:ascii="Arial" w:hAnsi="Arial" w:cs="Arial"/>
          <w:color w:val="000000"/>
        </w:rPr>
        <w:t xml:space="preserve"> support PUCCH formats 0 and 2 without frequency hopping</w:t>
      </w:r>
      <w:r>
        <w:rPr>
          <w:rFonts w:ascii="Arial" w:hAnsi="Arial" w:cs="Arial"/>
          <w:color w:val="000000"/>
        </w:rPr>
        <w:t>”</w:t>
      </w:r>
      <w:r w:rsidRPr="00C7464E">
        <w:rPr>
          <w:rFonts w:ascii="Arial" w:hAnsi="Arial" w:cs="Arial"/>
          <w:color w:val="000000"/>
        </w:rPr>
        <w:t>.</w:t>
      </w:r>
      <w:r>
        <w:rPr>
          <w:rFonts w:ascii="Arial" w:hAnsi="Arial" w:cs="Arial"/>
          <w:color w:val="000000"/>
        </w:rPr>
        <w:t xml:space="preserve"> </w:t>
      </w:r>
    </w:p>
    <w:p w14:paraId="513925A8" w14:textId="77777777" w:rsidR="000D7BEE" w:rsidRPr="009E1BA8" w:rsidRDefault="000D7BEE" w:rsidP="000D7BEE">
      <w:pPr>
        <w:spacing w:after="120"/>
        <w:ind w:left="567"/>
        <w:jc w:val="both"/>
        <w:rPr>
          <w:rFonts w:ascii="Arial" w:hAnsi="Arial" w:cs="Arial"/>
          <w:b/>
          <w:bCs/>
          <w:color w:val="000000"/>
        </w:rPr>
      </w:pPr>
      <w:r w:rsidRPr="009E1BA8">
        <w:rPr>
          <w:rFonts w:ascii="Arial" w:hAnsi="Arial" w:cs="Arial"/>
          <w:b/>
          <w:bCs/>
          <w:color w:val="000000"/>
        </w:rPr>
        <w:t>2</w:t>
      </w:r>
      <w:r w:rsidRPr="009E1BA8">
        <w:rPr>
          <w:rFonts w:ascii="Arial" w:hAnsi="Arial" w:cs="Arial"/>
          <w:b/>
          <w:bCs/>
          <w:color w:val="000000"/>
        </w:rPr>
        <w:tab/>
        <w:t>Absence of a capability bit</w:t>
      </w:r>
      <w:r>
        <w:rPr>
          <w:rFonts w:ascii="Arial" w:hAnsi="Arial" w:cs="Arial"/>
          <w:b/>
          <w:bCs/>
          <w:color w:val="000000"/>
        </w:rPr>
        <w:t xml:space="preserve"> </w:t>
      </w:r>
      <w:r w:rsidRPr="00A1545D">
        <w:rPr>
          <w:rFonts w:ascii="Arial" w:hAnsi="Arial" w:cs="Arial"/>
          <w:color w:val="000000"/>
        </w:rPr>
        <w:t>shall not imply support for something that is not yet defined</w:t>
      </w:r>
    </w:p>
    <w:p w14:paraId="1866795F" w14:textId="77777777" w:rsidR="000D7BEE" w:rsidRDefault="000D7BEE" w:rsidP="000D7BEE">
      <w:pPr>
        <w:spacing w:after="120"/>
        <w:ind w:left="567"/>
        <w:jc w:val="both"/>
        <w:rPr>
          <w:rFonts w:ascii="Arial" w:hAnsi="Arial" w:cs="Arial"/>
          <w:color w:val="000000"/>
        </w:rPr>
      </w:pPr>
      <w:r>
        <w:rPr>
          <w:rFonts w:ascii="Arial" w:hAnsi="Arial" w:cs="Arial"/>
          <w:color w:val="000000"/>
        </w:rPr>
        <w:t>One</w:t>
      </w:r>
      <w:r w:rsidRPr="00A1545D">
        <w:rPr>
          <w:rFonts w:ascii="Arial" w:hAnsi="Arial" w:cs="Arial"/>
          <w:color w:val="000000"/>
        </w:rPr>
        <w:t xml:space="preserve"> example </w:t>
      </w:r>
      <w:r>
        <w:rPr>
          <w:rFonts w:ascii="Arial" w:hAnsi="Arial" w:cs="Arial"/>
          <w:color w:val="000000"/>
        </w:rPr>
        <w:t>is</w:t>
      </w:r>
      <w:r w:rsidRPr="00A1545D">
        <w:rPr>
          <w:rFonts w:ascii="Arial" w:hAnsi="Arial" w:cs="Arial"/>
          <w:color w:val="000000"/>
        </w:rPr>
        <w:t xml:space="preserve"> “absence of </w:t>
      </w:r>
      <w:proofErr w:type="spellStart"/>
      <w:r w:rsidRPr="00CF742C">
        <w:rPr>
          <w:rFonts w:ascii="Arial" w:hAnsi="Arial" w:cs="Arial"/>
          <w:i/>
          <w:color w:val="000000"/>
        </w:rPr>
        <w:t>channelBW</w:t>
      </w:r>
      <w:proofErr w:type="spellEnd"/>
      <w:r w:rsidRPr="00A1545D">
        <w:rPr>
          <w:rFonts w:ascii="Arial" w:hAnsi="Arial" w:cs="Arial"/>
          <w:color w:val="000000"/>
        </w:rPr>
        <w:t xml:space="preserve"> means that the UE supports </w:t>
      </w:r>
      <w:r w:rsidRPr="00CF742C">
        <w:rPr>
          <w:rFonts w:ascii="Arial" w:hAnsi="Arial" w:cs="Arial"/>
          <w:color w:val="000000"/>
          <w:u w:val="single"/>
        </w:rPr>
        <w:t>all BWs</w:t>
      </w:r>
      <w:r w:rsidRPr="00A1545D">
        <w:rPr>
          <w:rFonts w:ascii="Arial" w:hAnsi="Arial" w:cs="Arial"/>
          <w:color w:val="000000"/>
        </w:rPr>
        <w:t>”</w:t>
      </w:r>
      <w:r>
        <w:rPr>
          <w:rFonts w:ascii="Arial" w:hAnsi="Arial" w:cs="Arial"/>
          <w:color w:val="000000"/>
        </w:rPr>
        <w:t>. S</w:t>
      </w:r>
      <w:r w:rsidRPr="00A1545D">
        <w:rPr>
          <w:rFonts w:ascii="Arial" w:hAnsi="Arial" w:cs="Arial"/>
          <w:color w:val="000000"/>
        </w:rPr>
        <w:t xml:space="preserve">ince new BWs might be added later </w:t>
      </w:r>
      <w:r>
        <w:rPr>
          <w:rFonts w:ascii="Arial" w:hAnsi="Arial" w:cs="Arial"/>
          <w:color w:val="000000"/>
        </w:rPr>
        <w:t xml:space="preserve">(and in </w:t>
      </w:r>
      <w:r>
        <w:rPr>
          <w:rFonts w:ascii="Arial" w:hAnsi="Arial" w:cs="Arial" w:hint="eastAsia"/>
          <w:color w:val="000000"/>
        </w:rPr>
        <w:t>a</w:t>
      </w:r>
      <w:r>
        <w:rPr>
          <w:rFonts w:ascii="Arial" w:hAnsi="Arial" w:cs="Arial"/>
          <w:color w:val="000000"/>
        </w:rPr>
        <w:t xml:space="preserve"> release independent manner) </w:t>
      </w:r>
      <w:r w:rsidRPr="00A1545D">
        <w:rPr>
          <w:rFonts w:ascii="Arial" w:hAnsi="Arial" w:cs="Arial"/>
          <w:color w:val="000000"/>
        </w:rPr>
        <w:t>and maybe in some other specification</w:t>
      </w:r>
      <w:r>
        <w:rPr>
          <w:rFonts w:ascii="Arial" w:hAnsi="Arial" w:cs="Arial"/>
          <w:color w:val="000000"/>
        </w:rPr>
        <w:t>, “all BWs” can become ambiguous</w:t>
      </w:r>
      <w:r w:rsidRPr="00A1545D">
        <w:rPr>
          <w:rFonts w:ascii="Arial" w:hAnsi="Arial" w:cs="Arial"/>
          <w:color w:val="000000"/>
        </w:rPr>
        <w:t xml:space="preserve">. Any legacy UE would suddenly be expected to support the new bandwidth as well. </w:t>
      </w:r>
    </w:p>
    <w:p w14:paraId="2E4AF519" w14:textId="77777777" w:rsidR="000D7BEE" w:rsidRDefault="000D7BEE" w:rsidP="000D7BEE">
      <w:pPr>
        <w:spacing w:after="120"/>
        <w:ind w:left="567"/>
        <w:jc w:val="both"/>
        <w:rPr>
          <w:rFonts w:ascii="Arial" w:hAnsi="Arial" w:cs="Arial"/>
          <w:color w:val="000000"/>
        </w:rPr>
      </w:pPr>
      <w:r>
        <w:rPr>
          <w:rFonts w:ascii="Arial" w:hAnsi="Arial" w:cs="Arial"/>
          <w:color w:val="000000"/>
        </w:rPr>
        <w:t>Another example is the default capability for UE power class and UL duty cycle. From signalling point of view, reducing the overhead is marginal (unless it is reported per-</w:t>
      </w:r>
      <w:proofErr w:type="spellStart"/>
      <w:r>
        <w:rPr>
          <w:rFonts w:ascii="Arial" w:hAnsi="Arial" w:cs="Arial"/>
          <w:color w:val="000000"/>
        </w:rPr>
        <w:t>BandCombination</w:t>
      </w:r>
      <w:proofErr w:type="spellEnd"/>
      <w:r>
        <w:rPr>
          <w:rFonts w:ascii="Arial" w:hAnsi="Arial" w:cs="Arial"/>
          <w:color w:val="000000"/>
        </w:rPr>
        <w:t xml:space="preserve"> or Per-Band-of-a-</w:t>
      </w:r>
      <w:proofErr w:type="spellStart"/>
      <w:r>
        <w:rPr>
          <w:rFonts w:ascii="Arial" w:hAnsi="Arial" w:cs="Arial"/>
          <w:color w:val="000000"/>
        </w:rPr>
        <w:t>BandCombination</w:t>
      </w:r>
      <w:proofErr w:type="spellEnd"/>
      <w:r>
        <w:rPr>
          <w:rFonts w:ascii="Arial" w:hAnsi="Arial" w:cs="Arial"/>
          <w:color w:val="000000"/>
        </w:rPr>
        <w:t xml:space="preserve"> as discussed in bullet 4 below). Instead, gNB faces difficulty in comprehending the implicit capabilities amongst UEs compliant with different versions in a release.</w:t>
      </w:r>
    </w:p>
    <w:p w14:paraId="0CA993C8" w14:textId="77777777" w:rsidR="000D7BEE" w:rsidRPr="009E1BA8" w:rsidRDefault="000D7BEE" w:rsidP="000D7BEE">
      <w:pPr>
        <w:spacing w:after="120"/>
        <w:ind w:left="567"/>
        <w:jc w:val="both"/>
        <w:rPr>
          <w:rFonts w:ascii="Arial" w:hAnsi="Arial" w:cs="Arial"/>
          <w:b/>
          <w:bCs/>
          <w:color w:val="000000"/>
        </w:rPr>
      </w:pPr>
      <w:r w:rsidRPr="009E1BA8">
        <w:rPr>
          <w:rFonts w:ascii="Arial" w:hAnsi="Arial" w:cs="Arial"/>
          <w:b/>
          <w:bCs/>
          <w:color w:val="000000"/>
        </w:rPr>
        <w:t xml:space="preserve">3 </w:t>
      </w:r>
      <w:r w:rsidRPr="009E1BA8">
        <w:rPr>
          <w:rFonts w:ascii="Arial" w:hAnsi="Arial" w:cs="Arial"/>
          <w:b/>
          <w:bCs/>
          <w:color w:val="000000"/>
        </w:rPr>
        <w:tab/>
      </w:r>
      <w:r w:rsidRPr="00E34F9F">
        <w:rPr>
          <w:rFonts w:ascii="Arial" w:hAnsi="Arial" w:cs="Arial"/>
          <w:b/>
          <w:bCs/>
          <w:color w:val="000000"/>
        </w:rPr>
        <w:t xml:space="preserve">Define baseline feature bits that </w:t>
      </w:r>
      <w:r>
        <w:rPr>
          <w:rFonts w:ascii="Arial" w:hAnsi="Arial" w:cs="Arial"/>
          <w:b/>
          <w:bCs/>
          <w:color w:val="000000"/>
        </w:rPr>
        <w:t>covers</w:t>
      </w:r>
      <w:r w:rsidRPr="00E34F9F">
        <w:rPr>
          <w:rFonts w:ascii="Arial" w:hAnsi="Arial" w:cs="Arial"/>
          <w:b/>
          <w:bCs/>
          <w:color w:val="000000"/>
        </w:rPr>
        <w:t xml:space="preserve"> the mini</w:t>
      </w:r>
      <w:r>
        <w:rPr>
          <w:rFonts w:ascii="Arial" w:hAnsi="Arial" w:cs="Arial"/>
          <w:b/>
          <w:bCs/>
          <w:color w:val="000000"/>
        </w:rPr>
        <w:t>m</w:t>
      </w:r>
      <w:r w:rsidRPr="00E34F9F">
        <w:rPr>
          <w:rFonts w:ascii="Arial" w:hAnsi="Arial" w:cs="Arial"/>
          <w:b/>
          <w:bCs/>
          <w:color w:val="000000"/>
        </w:rPr>
        <w:t>um parts of a feature and use additional bits for parts that can be used together with the baseline feature</w:t>
      </w:r>
    </w:p>
    <w:p w14:paraId="60970F02" w14:textId="77777777" w:rsidR="000D7BEE" w:rsidRDefault="000D7BEE" w:rsidP="000D7BEE">
      <w:pPr>
        <w:spacing w:after="120"/>
        <w:ind w:left="567"/>
        <w:jc w:val="both"/>
        <w:rPr>
          <w:rFonts w:ascii="Arial" w:hAnsi="Arial" w:cs="Arial"/>
          <w:color w:val="000000"/>
        </w:rPr>
      </w:pPr>
      <w:r w:rsidRPr="00DD5C8C">
        <w:rPr>
          <w:rFonts w:ascii="Arial" w:hAnsi="Arial" w:cs="Arial"/>
          <w:color w:val="000000"/>
        </w:rPr>
        <w:t xml:space="preserve">If </w:t>
      </w:r>
      <w:r>
        <w:rPr>
          <w:rFonts w:ascii="Arial" w:hAnsi="Arial" w:cs="Arial"/>
          <w:color w:val="000000"/>
        </w:rPr>
        <w:t xml:space="preserve">a </w:t>
      </w:r>
      <w:r w:rsidRPr="00DD5C8C">
        <w:rPr>
          <w:rFonts w:ascii="Arial" w:hAnsi="Arial" w:cs="Arial"/>
          <w:color w:val="000000"/>
        </w:rPr>
        <w:t xml:space="preserve">feature has a baseline feature, the baseline feature must be clearly defined. It is not enough to write that “if the UE does not set the </w:t>
      </w:r>
      <w:proofErr w:type="gramStart"/>
      <w:r w:rsidRPr="00DD5C8C">
        <w:rPr>
          <w:rFonts w:ascii="Arial" w:hAnsi="Arial" w:cs="Arial"/>
          <w:color w:val="000000"/>
        </w:rPr>
        <w:t>bit</w:t>
      </w:r>
      <w:proofErr w:type="gramEnd"/>
      <w:r w:rsidRPr="00DD5C8C">
        <w:rPr>
          <w:rFonts w:ascii="Arial" w:hAnsi="Arial" w:cs="Arial"/>
          <w:color w:val="000000"/>
        </w:rPr>
        <w:t xml:space="preserve"> it does not support feature group x-y”.  </w:t>
      </w:r>
      <w:r w:rsidRPr="00A1545D">
        <w:rPr>
          <w:rFonts w:ascii="Arial" w:hAnsi="Arial" w:cs="Arial"/>
          <w:color w:val="000000"/>
        </w:rPr>
        <w:t>If a capability bit for a certain “feature X” has been defined, all UEs that support “feature X” shall set the bit</w:t>
      </w:r>
      <w:r>
        <w:rPr>
          <w:rFonts w:ascii="Arial" w:hAnsi="Arial" w:cs="Arial"/>
          <w:color w:val="000000"/>
        </w:rPr>
        <w:t>, and additional parts of the feature may not be supported by all UEs</w:t>
      </w:r>
      <w:r w:rsidRPr="00A1545D">
        <w:rPr>
          <w:rFonts w:ascii="Arial" w:hAnsi="Arial" w:cs="Arial"/>
          <w:color w:val="000000"/>
        </w:rPr>
        <w:t xml:space="preserve">. </w:t>
      </w:r>
    </w:p>
    <w:p w14:paraId="1E27B824" w14:textId="77777777" w:rsidR="000D7BEE" w:rsidRDefault="000D7BEE" w:rsidP="000D7BEE">
      <w:pPr>
        <w:spacing w:after="120"/>
        <w:ind w:left="567"/>
        <w:jc w:val="both"/>
        <w:rPr>
          <w:rFonts w:ascii="Arial" w:hAnsi="Arial" w:cs="Arial"/>
          <w:color w:val="000000"/>
        </w:rPr>
      </w:pPr>
      <w:r w:rsidRPr="00A1545D">
        <w:rPr>
          <w:rFonts w:ascii="Arial" w:hAnsi="Arial" w:cs="Arial"/>
          <w:color w:val="000000"/>
        </w:rPr>
        <w:t>Capability signal</w:t>
      </w:r>
      <w:r>
        <w:rPr>
          <w:rFonts w:ascii="Arial" w:hAnsi="Arial" w:cs="Arial"/>
          <w:color w:val="000000"/>
        </w:rPr>
        <w:t>l</w:t>
      </w:r>
      <w:r w:rsidRPr="00A1545D">
        <w:rPr>
          <w:rFonts w:ascii="Arial" w:hAnsi="Arial" w:cs="Arial"/>
          <w:color w:val="000000"/>
        </w:rPr>
        <w:t xml:space="preserve">ing and rules to determine whether a UE supports a feature should not be mixed. </w:t>
      </w:r>
      <w:r>
        <w:rPr>
          <w:rFonts w:ascii="Arial" w:hAnsi="Arial" w:cs="Arial"/>
          <w:color w:val="000000"/>
        </w:rPr>
        <w:t>For example, avoid</w:t>
      </w:r>
      <w:r w:rsidRPr="00A1545D">
        <w:rPr>
          <w:rFonts w:ascii="Arial" w:hAnsi="Arial" w:cs="Arial"/>
          <w:color w:val="000000"/>
        </w:rPr>
        <w:t xml:space="preserve"> </w:t>
      </w:r>
      <w:proofErr w:type="gramStart"/>
      <w:r w:rsidRPr="00A1545D">
        <w:rPr>
          <w:rFonts w:ascii="Arial" w:hAnsi="Arial" w:cs="Arial"/>
          <w:color w:val="000000"/>
        </w:rPr>
        <w:t>to</w:t>
      </w:r>
      <w:r>
        <w:rPr>
          <w:rFonts w:ascii="Arial" w:hAnsi="Arial" w:cs="Arial"/>
          <w:color w:val="000000"/>
        </w:rPr>
        <w:t xml:space="preserve"> </w:t>
      </w:r>
      <w:r w:rsidRPr="00A1545D">
        <w:rPr>
          <w:rFonts w:ascii="Arial" w:hAnsi="Arial" w:cs="Arial"/>
          <w:color w:val="000000"/>
        </w:rPr>
        <w:t>say</w:t>
      </w:r>
      <w:proofErr w:type="gramEnd"/>
      <w:r w:rsidRPr="00A1545D">
        <w:rPr>
          <w:rFonts w:ascii="Arial" w:hAnsi="Arial" w:cs="Arial"/>
          <w:color w:val="000000"/>
        </w:rPr>
        <w:t xml:space="preserve"> </w:t>
      </w:r>
    </w:p>
    <w:p w14:paraId="74CFEC94" w14:textId="77777777" w:rsidR="000D7BEE" w:rsidRDefault="000D7BEE" w:rsidP="000D7BEE">
      <w:pPr>
        <w:spacing w:after="120"/>
        <w:ind w:left="1287"/>
        <w:jc w:val="both"/>
        <w:rPr>
          <w:rFonts w:ascii="Arial" w:hAnsi="Arial" w:cs="Arial"/>
          <w:color w:val="000000"/>
        </w:rPr>
      </w:pPr>
      <w:r w:rsidRPr="00A1545D">
        <w:rPr>
          <w:rFonts w:ascii="Arial" w:hAnsi="Arial" w:cs="Arial"/>
          <w:color w:val="000000"/>
        </w:rPr>
        <w:t xml:space="preserve">“In TDD band combinations, only UEs that set the </w:t>
      </w:r>
      <w:proofErr w:type="spellStart"/>
      <w:r w:rsidRPr="00A1545D">
        <w:rPr>
          <w:rFonts w:ascii="Arial" w:hAnsi="Arial" w:cs="Arial"/>
          <w:color w:val="000000"/>
        </w:rPr>
        <w:t>featureX</w:t>
      </w:r>
      <w:proofErr w:type="spellEnd"/>
      <w:r w:rsidRPr="00A1545D">
        <w:rPr>
          <w:rFonts w:ascii="Arial" w:hAnsi="Arial" w:cs="Arial"/>
          <w:color w:val="000000"/>
        </w:rPr>
        <w:t xml:space="preserve"> capability bit support feature. In FDD-only band combinations all UEs support feature X even if they do not set the bit</w:t>
      </w:r>
      <w:r>
        <w:rPr>
          <w:rFonts w:ascii="Arial" w:hAnsi="Arial" w:cs="Arial"/>
          <w:color w:val="000000"/>
        </w:rPr>
        <w:t>.”</w:t>
      </w:r>
      <w:r w:rsidRPr="00A1545D">
        <w:rPr>
          <w:rFonts w:ascii="Arial" w:hAnsi="Arial" w:cs="Arial"/>
          <w:color w:val="000000"/>
        </w:rPr>
        <w:t xml:space="preserve"> </w:t>
      </w:r>
    </w:p>
    <w:p w14:paraId="67B3F01C" w14:textId="77777777" w:rsidR="000D7BEE" w:rsidRPr="00A1545D" w:rsidRDefault="000D7BEE" w:rsidP="000D7BEE">
      <w:pPr>
        <w:spacing w:after="120"/>
        <w:ind w:left="567"/>
        <w:jc w:val="both"/>
        <w:rPr>
          <w:rFonts w:ascii="Arial" w:hAnsi="Arial" w:cs="Arial"/>
          <w:color w:val="000000"/>
        </w:rPr>
      </w:pPr>
      <w:r>
        <w:rPr>
          <w:rFonts w:ascii="Arial" w:hAnsi="Arial" w:cs="Arial"/>
          <w:color w:val="000000"/>
        </w:rPr>
        <w:t>I</w:t>
      </w:r>
      <w:r w:rsidRPr="00A1545D">
        <w:rPr>
          <w:rFonts w:ascii="Arial" w:hAnsi="Arial" w:cs="Arial"/>
          <w:color w:val="000000"/>
        </w:rPr>
        <w:t xml:space="preserve">f later FDD-only band combinations are defined, where UEs are not required to support the feature, band combinations </w:t>
      </w:r>
      <w:r>
        <w:rPr>
          <w:rFonts w:ascii="Arial" w:hAnsi="Arial" w:cs="Arial"/>
          <w:color w:val="000000"/>
        </w:rPr>
        <w:t>will not</w:t>
      </w:r>
      <w:r w:rsidRPr="00A1545D">
        <w:rPr>
          <w:rFonts w:ascii="Arial" w:hAnsi="Arial" w:cs="Arial"/>
          <w:color w:val="000000"/>
        </w:rPr>
        <w:t xml:space="preserve"> be release independent. An example where this caused problem in Rel-15 was </w:t>
      </w:r>
      <w:r>
        <w:rPr>
          <w:rFonts w:ascii="Arial" w:hAnsi="Arial" w:cs="Arial"/>
          <w:color w:val="000000"/>
        </w:rPr>
        <w:t xml:space="preserve">the capability </w:t>
      </w:r>
      <w:proofErr w:type="spellStart"/>
      <w:r w:rsidRPr="00CF742C">
        <w:rPr>
          <w:rFonts w:ascii="Arial" w:hAnsi="Arial" w:cs="Arial"/>
          <w:i/>
          <w:iCs/>
          <w:color w:val="000000"/>
        </w:rPr>
        <w:t>simultaneousRx</w:t>
      </w:r>
      <w:proofErr w:type="spellEnd"/>
      <w:r w:rsidRPr="00CF742C">
        <w:rPr>
          <w:rFonts w:ascii="Arial" w:hAnsi="Arial" w:cs="Arial"/>
          <w:i/>
          <w:iCs/>
          <w:color w:val="000000"/>
        </w:rPr>
        <w:t>-Tx</w:t>
      </w:r>
      <w:r w:rsidRPr="00A1545D">
        <w:rPr>
          <w:rFonts w:ascii="Arial" w:hAnsi="Arial" w:cs="Arial"/>
          <w:color w:val="000000"/>
        </w:rPr>
        <w:t xml:space="preserve"> for EN-DC.</w:t>
      </w:r>
    </w:p>
    <w:p w14:paraId="7D0F563B" w14:textId="77777777" w:rsidR="000D7BEE" w:rsidRPr="009E1BA8" w:rsidRDefault="000D7BEE" w:rsidP="000D7BEE">
      <w:pPr>
        <w:spacing w:after="120"/>
        <w:ind w:left="567"/>
        <w:jc w:val="both"/>
        <w:rPr>
          <w:rFonts w:ascii="Arial" w:hAnsi="Arial" w:cs="Arial"/>
          <w:b/>
          <w:bCs/>
          <w:color w:val="000000"/>
        </w:rPr>
      </w:pPr>
      <w:r w:rsidRPr="009E1BA8">
        <w:rPr>
          <w:rFonts w:ascii="Arial" w:hAnsi="Arial" w:cs="Arial"/>
          <w:b/>
          <w:bCs/>
          <w:color w:val="000000"/>
        </w:rPr>
        <w:t xml:space="preserve">4 </w:t>
      </w:r>
      <w:r w:rsidRPr="009E1BA8">
        <w:rPr>
          <w:rFonts w:ascii="Arial" w:hAnsi="Arial" w:cs="Arial"/>
          <w:b/>
          <w:bCs/>
          <w:color w:val="000000"/>
        </w:rPr>
        <w:tab/>
      </w:r>
      <w:bookmarkStart w:id="8" w:name="_Hlk92264621"/>
      <w:r w:rsidRPr="009E1BA8">
        <w:rPr>
          <w:rFonts w:ascii="Arial" w:hAnsi="Arial" w:cs="Arial"/>
          <w:b/>
          <w:bCs/>
          <w:color w:val="000000"/>
        </w:rPr>
        <w:t>Minimize features “per-</w:t>
      </w:r>
      <w:proofErr w:type="spellStart"/>
      <w:r w:rsidRPr="009E1BA8">
        <w:rPr>
          <w:rFonts w:ascii="Arial" w:hAnsi="Arial" w:cs="Arial"/>
          <w:b/>
          <w:bCs/>
          <w:color w:val="000000"/>
        </w:rPr>
        <w:t>BandCombination</w:t>
      </w:r>
      <w:proofErr w:type="spellEnd"/>
      <w:r w:rsidRPr="009E1BA8">
        <w:rPr>
          <w:rFonts w:ascii="Arial" w:hAnsi="Arial" w:cs="Arial"/>
          <w:b/>
          <w:bCs/>
          <w:color w:val="000000"/>
        </w:rPr>
        <w:t>” and “per-Band-of-a-</w:t>
      </w:r>
      <w:proofErr w:type="spellStart"/>
      <w:r w:rsidRPr="009E1BA8">
        <w:rPr>
          <w:rFonts w:ascii="Arial" w:hAnsi="Arial" w:cs="Arial"/>
          <w:b/>
          <w:bCs/>
          <w:color w:val="000000"/>
        </w:rPr>
        <w:t>BandCombination</w:t>
      </w:r>
      <w:proofErr w:type="spellEnd"/>
      <w:r w:rsidRPr="009E1BA8">
        <w:rPr>
          <w:rFonts w:ascii="Arial" w:hAnsi="Arial" w:cs="Arial"/>
          <w:b/>
          <w:bCs/>
          <w:color w:val="000000"/>
        </w:rPr>
        <w:t>”</w:t>
      </w:r>
    </w:p>
    <w:bookmarkEnd w:id="8"/>
    <w:p w14:paraId="506C237F" w14:textId="77777777" w:rsidR="000D7BEE" w:rsidRDefault="000D7BEE" w:rsidP="000D7BEE">
      <w:pPr>
        <w:spacing w:after="120"/>
        <w:ind w:left="567"/>
        <w:jc w:val="both"/>
        <w:rPr>
          <w:rFonts w:ascii="Arial" w:hAnsi="Arial" w:cs="Arial"/>
          <w:color w:val="000000"/>
        </w:rPr>
      </w:pPr>
      <w:r w:rsidRPr="00A1545D">
        <w:rPr>
          <w:rFonts w:ascii="Arial" w:hAnsi="Arial" w:cs="Arial"/>
          <w:color w:val="000000"/>
        </w:rPr>
        <w:t xml:space="preserve">The number of features that require capability </w:t>
      </w:r>
      <w:proofErr w:type="spellStart"/>
      <w:r w:rsidRPr="00A1545D">
        <w:rPr>
          <w:rFonts w:ascii="Arial" w:hAnsi="Arial" w:cs="Arial"/>
          <w:color w:val="000000"/>
        </w:rPr>
        <w:t>signaling</w:t>
      </w:r>
      <w:proofErr w:type="spellEnd"/>
      <w:r w:rsidRPr="00A1545D">
        <w:rPr>
          <w:rFonts w:ascii="Arial" w:hAnsi="Arial" w:cs="Arial"/>
          <w:color w:val="000000"/>
        </w:rPr>
        <w:t xml:space="preserve"> with “per-</w:t>
      </w:r>
      <w:proofErr w:type="spellStart"/>
      <w:r w:rsidRPr="00A1545D">
        <w:rPr>
          <w:rFonts w:ascii="Arial" w:hAnsi="Arial" w:cs="Arial"/>
          <w:color w:val="000000"/>
        </w:rPr>
        <w:t>BandCombination</w:t>
      </w:r>
      <w:proofErr w:type="spellEnd"/>
      <w:r w:rsidRPr="00A1545D">
        <w:rPr>
          <w:rFonts w:ascii="Arial" w:hAnsi="Arial" w:cs="Arial"/>
          <w:color w:val="000000"/>
        </w:rPr>
        <w:t>” and “per-Band-of-a-</w:t>
      </w:r>
      <w:proofErr w:type="spellStart"/>
      <w:r w:rsidRPr="00A1545D">
        <w:rPr>
          <w:rFonts w:ascii="Arial" w:hAnsi="Arial" w:cs="Arial"/>
          <w:color w:val="000000"/>
        </w:rPr>
        <w:t>BandCombination</w:t>
      </w:r>
      <w:proofErr w:type="spellEnd"/>
      <w:r w:rsidRPr="00A1545D">
        <w:rPr>
          <w:rFonts w:ascii="Arial" w:hAnsi="Arial" w:cs="Arial"/>
          <w:color w:val="000000"/>
        </w:rPr>
        <w:t>” (</w:t>
      </w:r>
      <w:proofErr w:type="spellStart"/>
      <w:r w:rsidRPr="00A1545D">
        <w:rPr>
          <w:rFonts w:ascii="Arial" w:hAnsi="Arial" w:cs="Arial"/>
          <w:color w:val="000000"/>
        </w:rPr>
        <w:t>FeatureSetPerCC</w:t>
      </w:r>
      <w:proofErr w:type="spellEnd"/>
      <w:r w:rsidRPr="00A1545D">
        <w:rPr>
          <w:rFonts w:ascii="Arial" w:hAnsi="Arial" w:cs="Arial"/>
          <w:color w:val="000000"/>
        </w:rPr>
        <w:t xml:space="preserve">) differentiation should be minimized. Such features cause an explosion in the size of the capability </w:t>
      </w:r>
      <w:proofErr w:type="spellStart"/>
      <w:r w:rsidRPr="00A1545D">
        <w:rPr>
          <w:rFonts w:ascii="Arial" w:hAnsi="Arial" w:cs="Arial"/>
          <w:color w:val="000000"/>
        </w:rPr>
        <w:t>signaling</w:t>
      </w:r>
      <w:proofErr w:type="spellEnd"/>
      <w:r w:rsidRPr="00A1545D">
        <w:rPr>
          <w:rFonts w:ascii="Arial" w:hAnsi="Arial" w:cs="Arial"/>
          <w:color w:val="000000"/>
        </w:rPr>
        <w:t xml:space="preserve"> and are even more severe when it comes to the number of possible configurations, making it impossible for the gNB to take all combinations into account. </w:t>
      </w:r>
    </w:p>
    <w:p w14:paraId="5F9AA7F6" w14:textId="77777777" w:rsidR="000D7BEE" w:rsidRPr="00A1545D" w:rsidRDefault="000D7BEE" w:rsidP="000D7BEE">
      <w:pPr>
        <w:spacing w:after="120"/>
        <w:ind w:left="567"/>
        <w:jc w:val="both"/>
        <w:rPr>
          <w:rFonts w:ascii="Arial" w:hAnsi="Arial" w:cs="Arial"/>
          <w:color w:val="000000"/>
        </w:rPr>
      </w:pPr>
      <w:r>
        <w:rPr>
          <w:rFonts w:ascii="Arial" w:hAnsi="Arial" w:cs="Arial"/>
          <w:color w:val="000000"/>
        </w:rPr>
        <w:t>It would be of help for RAN2 to be informed of the reasons why “per-BC” or “per-band-of-a-BC” was considered necessary, and whether other alternatives were considered.</w:t>
      </w:r>
    </w:p>
    <w:p w14:paraId="4B2A66A0" w14:textId="77777777" w:rsidR="000D7BEE" w:rsidRPr="009E1BA8" w:rsidRDefault="000D7BEE" w:rsidP="000D7BEE">
      <w:pPr>
        <w:spacing w:after="120"/>
        <w:ind w:left="567"/>
        <w:jc w:val="both"/>
        <w:rPr>
          <w:rFonts w:ascii="Arial" w:hAnsi="Arial" w:cs="Arial"/>
          <w:b/>
          <w:bCs/>
          <w:color w:val="000000"/>
        </w:rPr>
      </w:pPr>
      <w:r w:rsidRPr="009E1BA8">
        <w:rPr>
          <w:rFonts w:ascii="Arial" w:hAnsi="Arial" w:cs="Arial"/>
          <w:b/>
          <w:bCs/>
          <w:color w:val="000000"/>
        </w:rPr>
        <w:t xml:space="preserve">5 </w:t>
      </w:r>
      <w:r>
        <w:rPr>
          <w:rFonts w:ascii="Arial" w:hAnsi="Arial" w:cs="Arial"/>
          <w:b/>
          <w:bCs/>
          <w:color w:val="000000"/>
        </w:rPr>
        <w:tab/>
      </w:r>
      <w:r w:rsidRPr="00F36D20">
        <w:rPr>
          <w:rFonts w:ascii="Arial" w:hAnsi="Arial" w:cs="Arial"/>
          <w:b/>
          <w:bCs/>
          <w:color w:val="000000"/>
        </w:rPr>
        <w:t>Avoid defining functionality that has no RRC configuration but is dependent on capability bits.</w:t>
      </w:r>
    </w:p>
    <w:p w14:paraId="34AFF54C" w14:textId="77777777" w:rsidR="000D7BEE" w:rsidRDefault="000D7BEE" w:rsidP="000D7BEE">
      <w:pPr>
        <w:spacing w:after="120"/>
        <w:ind w:left="567"/>
        <w:jc w:val="both"/>
        <w:rPr>
          <w:rFonts w:ascii="Arial" w:hAnsi="Arial" w:cs="Arial"/>
          <w:color w:val="000000"/>
        </w:rPr>
      </w:pPr>
      <w:r w:rsidRPr="00A1545D">
        <w:rPr>
          <w:rFonts w:ascii="Arial" w:hAnsi="Arial" w:cs="Arial"/>
          <w:color w:val="000000"/>
        </w:rPr>
        <w:t xml:space="preserve">The specification should not be written so that the network </w:t>
      </w:r>
      <w:r>
        <w:rPr>
          <w:rFonts w:ascii="Arial" w:hAnsi="Arial" w:cs="Arial"/>
          <w:color w:val="000000"/>
        </w:rPr>
        <w:t>determines what configuration it can use for a UE</w:t>
      </w:r>
      <w:r w:rsidRPr="00A1545D">
        <w:rPr>
          <w:rFonts w:ascii="Arial" w:hAnsi="Arial" w:cs="Arial"/>
          <w:color w:val="000000"/>
        </w:rPr>
        <w:t xml:space="preserve"> implicitly by the reported UE capabilities. </w:t>
      </w:r>
      <w:r>
        <w:rPr>
          <w:rFonts w:ascii="Arial" w:hAnsi="Arial" w:cs="Arial"/>
          <w:color w:val="000000"/>
        </w:rPr>
        <w:t>Instead</w:t>
      </w:r>
      <w:r w:rsidRPr="00A1545D">
        <w:rPr>
          <w:rFonts w:ascii="Arial" w:hAnsi="Arial" w:cs="Arial"/>
          <w:color w:val="000000"/>
        </w:rPr>
        <w:t xml:space="preserve">, the gNB should always configure the UE explicitly by DL RRC </w:t>
      </w:r>
      <w:r>
        <w:rPr>
          <w:rFonts w:ascii="Arial" w:hAnsi="Arial" w:cs="Arial"/>
          <w:color w:val="000000"/>
        </w:rPr>
        <w:t xml:space="preserve">signalling, </w:t>
      </w:r>
      <w:proofErr w:type="gramStart"/>
      <w:r>
        <w:rPr>
          <w:rFonts w:ascii="Arial" w:hAnsi="Arial" w:cs="Arial"/>
          <w:color w:val="000000"/>
        </w:rPr>
        <w:t xml:space="preserve">respecting </w:t>
      </w:r>
      <w:r w:rsidRPr="00A1545D">
        <w:rPr>
          <w:rFonts w:ascii="Arial" w:hAnsi="Arial" w:cs="Arial"/>
          <w:color w:val="000000"/>
        </w:rPr>
        <w:t xml:space="preserve"> the</w:t>
      </w:r>
      <w:proofErr w:type="gramEnd"/>
      <w:r w:rsidRPr="00A1545D">
        <w:rPr>
          <w:rFonts w:ascii="Arial" w:hAnsi="Arial" w:cs="Arial"/>
          <w:color w:val="000000"/>
        </w:rPr>
        <w:t xml:space="preserve"> reported capabilities</w:t>
      </w:r>
      <w:r>
        <w:rPr>
          <w:rFonts w:ascii="Arial" w:hAnsi="Arial" w:cs="Arial"/>
          <w:color w:val="000000"/>
        </w:rPr>
        <w:t>.</w:t>
      </w:r>
      <w:r w:rsidRPr="00A1545D">
        <w:rPr>
          <w:rFonts w:ascii="Arial" w:hAnsi="Arial" w:cs="Arial"/>
          <w:color w:val="000000"/>
        </w:rPr>
        <w:t xml:space="preserve"> </w:t>
      </w:r>
    </w:p>
    <w:p w14:paraId="5D623109" w14:textId="77777777" w:rsidR="000D7BEE" w:rsidRPr="00A1545D" w:rsidRDefault="000D7BEE" w:rsidP="000D7BEE">
      <w:pPr>
        <w:spacing w:after="120"/>
        <w:ind w:left="567"/>
        <w:jc w:val="both"/>
        <w:rPr>
          <w:rFonts w:ascii="Arial" w:hAnsi="Arial" w:cs="Arial"/>
          <w:color w:val="000000"/>
        </w:rPr>
      </w:pPr>
      <w:r>
        <w:rPr>
          <w:rFonts w:ascii="Arial" w:hAnsi="Arial" w:cs="Arial"/>
          <w:color w:val="000000"/>
        </w:rPr>
        <w:t>A</w:t>
      </w:r>
      <w:r w:rsidRPr="00A1545D">
        <w:rPr>
          <w:rFonts w:ascii="Arial" w:hAnsi="Arial" w:cs="Arial"/>
          <w:color w:val="000000"/>
        </w:rPr>
        <w:t xml:space="preserve"> </w:t>
      </w:r>
      <w:r>
        <w:rPr>
          <w:rFonts w:ascii="Arial" w:hAnsi="Arial" w:cs="Arial"/>
          <w:color w:val="000000"/>
        </w:rPr>
        <w:t xml:space="preserve">problematic </w:t>
      </w:r>
      <w:r w:rsidRPr="00A1545D">
        <w:rPr>
          <w:rFonts w:ascii="Arial" w:hAnsi="Arial" w:cs="Arial"/>
          <w:color w:val="000000"/>
        </w:rPr>
        <w:t xml:space="preserve">case </w:t>
      </w:r>
      <w:r>
        <w:rPr>
          <w:rFonts w:ascii="Arial" w:hAnsi="Arial" w:cs="Arial"/>
          <w:color w:val="000000"/>
        </w:rPr>
        <w:t>in Rel-15 was</w:t>
      </w:r>
      <w:r w:rsidRPr="00A1545D">
        <w:rPr>
          <w:rFonts w:ascii="Arial" w:hAnsi="Arial" w:cs="Arial"/>
          <w:color w:val="000000"/>
        </w:rPr>
        <w:t xml:space="preserve"> the UL/DL MIMO layers</w:t>
      </w:r>
      <w:r>
        <w:rPr>
          <w:rFonts w:ascii="Arial" w:hAnsi="Arial" w:cs="Arial"/>
          <w:color w:val="000000"/>
        </w:rPr>
        <w:t>,</w:t>
      </w:r>
      <w:r w:rsidRPr="00A1545D">
        <w:rPr>
          <w:rFonts w:ascii="Arial" w:hAnsi="Arial" w:cs="Arial"/>
          <w:color w:val="000000"/>
        </w:rPr>
        <w:t xml:space="preserve"> </w:t>
      </w:r>
      <w:r>
        <w:rPr>
          <w:rFonts w:ascii="Arial" w:hAnsi="Arial" w:cs="Arial"/>
          <w:color w:val="000000"/>
        </w:rPr>
        <w:t xml:space="preserve">which resulted in a late-stage introduction of </w:t>
      </w:r>
      <w:r w:rsidRPr="00A1545D">
        <w:rPr>
          <w:rFonts w:ascii="Arial" w:hAnsi="Arial" w:cs="Arial"/>
          <w:color w:val="000000"/>
        </w:rPr>
        <w:t xml:space="preserve">explicit MIMO </w:t>
      </w:r>
      <w:r>
        <w:rPr>
          <w:rFonts w:ascii="Arial" w:hAnsi="Arial" w:cs="Arial"/>
          <w:color w:val="000000"/>
        </w:rPr>
        <w:t>signalling support</w:t>
      </w:r>
      <w:r w:rsidRPr="00A1545D">
        <w:rPr>
          <w:rFonts w:ascii="Arial" w:hAnsi="Arial" w:cs="Arial"/>
          <w:color w:val="000000"/>
        </w:rPr>
        <w:t xml:space="preserve"> by RAN2 </w:t>
      </w:r>
      <w:r>
        <w:rPr>
          <w:rFonts w:ascii="Arial" w:hAnsi="Arial" w:cs="Arial"/>
          <w:color w:val="000000"/>
        </w:rPr>
        <w:t>(</w:t>
      </w:r>
      <w:proofErr w:type="spellStart"/>
      <w:r w:rsidRPr="00A1545D">
        <w:rPr>
          <w:rFonts w:ascii="Arial" w:hAnsi="Arial" w:cs="Arial"/>
          <w:color w:val="000000"/>
        </w:rPr>
        <w:t>maxLayersMIMO</w:t>
      </w:r>
      <w:proofErr w:type="spellEnd"/>
      <w:r w:rsidRPr="00A1545D">
        <w:rPr>
          <w:rFonts w:ascii="Arial" w:hAnsi="Arial" w:cs="Arial"/>
          <w:color w:val="000000"/>
        </w:rPr>
        <w:t>-Indication</w:t>
      </w:r>
      <w:r>
        <w:rPr>
          <w:rFonts w:ascii="Arial" w:hAnsi="Arial" w:cs="Arial"/>
          <w:color w:val="000000"/>
        </w:rPr>
        <w:t xml:space="preserve">).  </w:t>
      </w:r>
    </w:p>
    <w:p w14:paraId="1B000A9A" w14:textId="77777777" w:rsidR="000D7BEE" w:rsidRPr="009E1BA8" w:rsidRDefault="000D7BEE" w:rsidP="000D7BEE">
      <w:pPr>
        <w:spacing w:after="120"/>
        <w:ind w:left="567"/>
        <w:jc w:val="both"/>
        <w:rPr>
          <w:rFonts w:ascii="Arial" w:hAnsi="Arial" w:cs="Arial"/>
          <w:b/>
          <w:bCs/>
          <w:color w:val="000000"/>
        </w:rPr>
      </w:pPr>
      <w:r>
        <w:rPr>
          <w:rFonts w:ascii="Arial" w:hAnsi="Arial" w:cs="Arial"/>
          <w:b/>
          <w:bCs/>
          <w:color w:val="000000"/>
        </w:rPr>
        <w:t>6</w:t>
      </w:r>
      <w:r w:rsidRPr="009E1BA8">
        <w:rPr>
          <w:rFonts w:ascii="Arial" w:hAnsi="Arial" w:cs="Arial"/>
          <w:b/>
          <w:bCs/>
          <w:color w:val="000000"/>
        </w:rPr>
        <w:tab/>
        <w:t>UE capabilities defined in specifications must be self-contained</w:t>
      </w:r>
    </w:p>
    <w:p w14:paraId="6BA371BC" w14:textId="77777777" w:rsidR="000D7BEE" w:rsidRDefault="000D7BEE" w:rsidP="000D7BEE">
      <w:pPr>
        <w:spacing w:after="120"/>
        <w:ind w:left="567"/>
        <w:jc w:val="both"/>
        <w:rPr>
          <w:rFonts w:ascii="Arial" w:hAnsi="Arial" w:cs="Arial"/>
          <w:color w:val="000000"/>
        </w:rPr>
      </w:pPr>
      <w:r>
        <w:rPr>
          <w:rFonts w:ascii="Arial" w:hAnsi="Arial" w:cs="Arial"/>
          <w:color w:val="000000"/>
        </w:rPr>
        <w:t xml:space="preserve">RAN2 would also like to point out that once the “snapshot” of defined Rel-16 capabilities </w:t>
      </w:r>
      <w:proofErr w:type="gramStart"/>
      <w:r>
        <w:rPr>
          <w:rFonts w:ascii="Arial" w:hAnsi="Arial" w:cs="Arial"/>
          <w:color w:val="000000"/>
        </w:rPr>
        <w:t>have</w:t>
      </w:r>
      <w:proofErr w:type="gramEnd"/>
      <w:r>
        <w:rPr>
          <w:rFonts w:ascii="Arial" w:hAnsi="Arial" w:cs="Arial"/>
          <w:color w:val="000000"/>
        </w:rPr>
        <w:t xml:space="preserve"> been captured in</w:t>
      </w:r>
      <w:r w:rsidRPr="007A3005">
        <w:rPr>
          <w:rFonts w:ascii="Arial" w:hAnsi="Arial" w:cs="Arial"/>
          <w:color w:val="000000"/>
        </w:rPr>
        <w:t xml:space="preserve"> </w:t>
      </w:r>
      <w:r>
        <w:rPr>
          <w:rFonts w:ascii="Arial" w:hAnsi="Arial" w:cs="Arial"/>
          <w:color w:val="000000"/>
        </w:rPr>
        <w:t>RAN2 TR 38.822, RAN2 does not plan to update this TR. D</w:t>
      </w:r>
      <w:r w:rsidRPr="00A1545D">
        <w:rPr>
          <w:rFonts w:ascii="Arial" w:hAnsi="Arial" w:cs="Arial"/>
          <w:color w:val="000000"/>
        </w:rPr>
        <w:t>iscussion</w:t>
      </w:r>
      <w:r>
        <w:rPr>
          <w:rFonts w:ascii="Arial" w:hAnsi="Arial" w:cs="Arial"/>
          <w:color w:val="000000"/>
        </w:rPr>
        <w:t>s</w:t>
      </w:r>
      <w:r w:rsidRPr="00A1545D">
        <w:rPr>
          <w:rFonts w:ascii="Arial" w:hAnsi="Arial" w:cs="Arial"/>
          <w:color w:val="000000"/>
        </w:rPr>
        <w:t xml:space="preserve"> </w:t>
      </w:r>
      <w:r>
        <w:rPr>
          <w:rFonts w:ascii="Arial" w:hAnsi="Arial" w:cs="Arial"/>
          <w:color w:val="000000"/>
        </w:rPr>
        <w:t>(on any WG</w:t>
      </w:r>
      <w:r w:rsidRPr="0094357C">
        <w:rPr>
          <w:rFonts w:ascii="Arial" w:hAnsi="Arial" w:cs="Arial"/>
          <w:color w:val="000000"/>
        </w:rPr>
        <w:t xml:space="preserve"> </w:t>
      </w:r>
      <w:r>
        <w:rPr>
          <w:rFonts w:ascii="Arial" w:hAnsi="Arial" w:cs="Arial"/>
          <w:color w:val="000000"/>
        </w:rPr>
        <w:lastRenderedPageBreak/>
        <w:t xml:space="preserve">capabilities) </w:t>
      </w:r>
      <w:r w:rsidRPr="00A1545D">
        <w:rPr>
          <w:rFonts w:ascii="Arial" w:hAnsi="Arial" w:cs="Arial"/>
          <w:color w:val="000000"/>
        </w:rPr>
        <w:t xml:space="preserve">should be </w:t>
      </w:r>
      <w:r>
        <w:rPr>
          <w:rFonts w:ascii="Arial" w:hAnsi="Arial" w:cs="Arial"/>
          <w:color w:val="000000"/>
        </w:rPr>
        <w:t xml:space="preserve">based </w:t>
      </w:r>
      <w:r w:rsidRPr="00A1545D">
        <w:rPr>
          <w:rFonts w:ascii="Arial" w:hAnsi="Arial" w:cs="Arial"/>
          <w:color w:val="000000"/>
        </w:rPr>
        <w:t xml:space="preserve">on the actual specification text. </w:t>
      </w:r>
      <w:r>
        <w:rPr>
          <w:rFonts w:ascii="Arial" w:hAnsi="Arial" w:cs="Arial"/>
          <w:color w:val="000000"/>
        </w:rPr>
        <w:t xml:space="preserve">RAN2 will document the capabilities </w:t>
      </w:r>
      <w:r w:rsidRPr="00A1545D">
        <w:rPr>
          <w:rFonts w:ascii="Arial" w:hAnsi="Arial" w:cs="Arial"/>
          <w:color w:val="000000"/>
        </w:rPr>
        <w:t xml:space="preserve">in </w:t>
      </w:r>
      <w:r>
        <w:rPr>
          <w:rFonts w:ascii="Arial" w:hAnsi="Arial" w:cs="Arial"/>
          <w:color w:val="000000"/>
        </w:rPr>
        <w:t xml:space="preserve">TS </w:t>
      </w:r>
      <w:r w:rsidRPr="00A1545D">
        <w:rPr>
          <w:rFonts w:ascii="Arial" w:hAnsi="Arial" w:cs="Arial"/>
          <w:color w:val="000000"/>
        </w:rPr>
        <w:t xml:space="preserve">3x.306, preferably with references to </w:t>
      </w:r>
      <w:r>
        <w:rPr>
          <w:rFonts w:ascii="Arial" w:hAnsi="Arial" w:cs="Arial"/>
          <w:color w:val="000000"/>
        </w:rPr>
        <w:t>RAN1/RAN4</w:t>
      </w:r>
      <w:r w:rsidRPr="00A1545D">
        <w:rPr>
          <w:rFonts w:ascii="Arial" w:hAnsi="Arial" w:cs="Arial"/>
          <w:color w:val="000000"/>
        </w:rPr>
        <w:t xml:space="preserve"> specifications and to corresponding RRC configurations</w:t>
      </w:r>
      <w:r>
        <w:rPr>
          <w:rFonts w:ascii="Arial" w:hAnsi="Arial" w:cs="Arial"/>
          <w:color w:val="000000"/>
        </w:rPr>
        <w:t xml:space="preserve"> (fields and information elements)</w:t>
      </w:r>
      <w:r w:rsidRPr="00A1545D">
        <w:rPr>
          <w:rFonts w:ascii="Arial" w:hAnsi="Arial" w:cs="Arial"/>
          <w:color w:val="000000"/>
        </w:rPr>
        <w:t xml:space="preserve">. </w:t>
      </w:r>
    </w:p>
    <w:p w14:paraId="784F378C" w14:textId="77777777" w:rsidR="000D7BEE" w:rsidRDefault="000D7BEE" w:rsidP="000D7BEE">
      <w:pPr>
        <w:spacing w:after="120"/>
        <w:ind w:left="567"/>
        <w:jc w:val="both"/>
        <w:rPr>
          <w:rFonts w:ascii="Arial" w:hAnsi="Arial" w:cs="Arial"/>
          <w:color w:val="000000"/>
        </w:rPr>
      </w:pPr>
      <w:r>
        <w:rPr>
          <w:rFonts w:ascii="Arial" w:hAnsi="Arial" w:cs="Arial"/>
          <w:color w:val="000000"/>
        </w:rPr>
        <w:t xml:space="preserve">RAN2 understands that RAN1 uses the </w:t>
      </w:r>
      <w:r w:rsidRPr="00A1545D">
        <w:rPr>
          <w:rFonts w:ascii="Arial" w:hAnsi="Arial" w:cs="Arial"/>
          <w:color w:val="000000"/>
        </w:rPr>
        <w:t>“feature IDs”</w:t>
      </w:r>
      <w:r>
        <w:rPr>
          <w:rFonts w:ascii="Arial" w:hAnsi="Arial" w:cs="Arial"/>
          <w:color w:val="000000"/>
        </w:rPr>
        <w:t>,</w:t>
      </w:r>
      <w:r w:rsidRPr="00A1545D">
        <w:rPr>
          <w:rFonts w:ascii="Arial" w:hAnsi="Arial" w:cs="Arial"/>
          <w:color w:val="000000"/>
        </w:rPr>
        <w:t xml:space="preserve"> </w:t>
      </w:r>
      <w:r>
        <w:rPr>
          <w:rFonts w:ascii="Arial" w:hAnsi="Arial" w:cs="Arial"/>
          <w:color w:val="000000"/>
        </w:rPr>
        <w:t>since they are the only available definitions</w:t>
      </w:r>
      <w:r w:rsidRPr="00A1545D">
        <w:rPr>
          <w:rFonts w:ascii="Arial" w:hAnsi="Arial" w:cs="Arial"/>
          <w:color w:val="000000"/>
        </w:rPr>
        <w:t xml:space="preserve"> </w:t>
      </w:r>
      <w:r>
        <w:rPr>
          <w:rFonts w:ascii="Arial" w:hAnsi="Arial" w:cs="Arial"/>
          <w:color w:val="000000"/>
        </w:rPr>
        <w:t>during</w:t>
      </w:r>
      <w:r w:rsidRPr="00A1545D">
        <w:rPr>
          <w:rFonts w:ascii="Arial" w:hAnsi="Arial" w:cs="Arial"/>
          <w:color w:val="000000"/>
        </w:rPr>
        <w:t xml:space="preserve"> the initial stage of discussion</w:t>
      </w:r>
      <w:r>
        <w:rPr>
          <w:rFonts w:ascii="Arial" w:hAnsi="Arial" w:cs="Arial"/>
          <w:color w:val="000000"/>
        </w:rPr>
        <w:t>s. RAN2 would like to request that once the RRC signalling is in place and can be mapped to each “feature ID”</w:t>
      </w:r>
      <w:r w:rsidRPr="00A1545D">
        <w:rPr>
          <w:rFonts w:ascii="Arial" w:hAnsi="Arial" w:cs="Arial"/>
          <w:color w:val="000000"/>
        </w:rPr>
        <w:t xml:space="preserve">, </w:t>
      </w:r>
      <w:r>
        <w:rPr>
          <w:rFonts w:ascii="Arial" w:hAnsi="Arial" w:cs="Arial"/>
          <w:color w:val="000000"/>
        </w:rPr>
        <w:t xml:space="preserve">the actual field names used in the signalling are also utilized in the RAN1/RAN4 capability discussions (to avoid inter-WG confusion </w:t>
      </w:r>
      <w:proofErr w:type="gramStart"/>
      <w:r>
        <w:rPr>
          <w:rFonts w:ascii="Arial" w:hAnsi="Arial" w:cs="Arial"/>
          <w:color w:val="000000"/>
        </w:rPr>
        <w:t>e.g.</w:t>
      </w:r>
      <w:proofErr w:type="gramEnd"/>
      <w:r>
        <w:rPr>
          <w:rFonts w:ascii="Arial" w:hAnsi="Arial" w:cs="Arial"/>
          <w:color w:val="000000"/>
        </w:rPr>
        <w:t xml:space="preserve"> in LSs). </w:t>
      </w:r>
    </w:p>
    <w:p w14:paraId="1212F89D" w14:textId="77777777" w:rsidR="000D7BEE" w:rsidRDefault="000D7BEE" w:rsidP="000D7BEE">
      <w:pPr>
        <w:spacing w:after="120"/>
        <w:ind w:left="567"/>
        <w:jc w:val="both"/>
        <w:rPr>
          <w:rFonts w:ascii="Arial" w:hAnsi="Arial" w:cs="Arial"/>
          <w:b/>
          <w:bCs/>
          <w:color w:val="000000"/>
        </w:rPr>
      </w:pPr>
      <w:r>
        <w:rPr>
          <w:rFonts w:ascii="Arial" w:hAnsi="Arial" w:cs="Arial"/>
          <w:b/>
          <w:bCs/>
          <w:color w:val="000000"/>
        </w:rPr>
        <w:t>7</w:t>
      </w:r>
      <w:r>
        <w:rPr>
          <w:rFonts w:ascii="Arial" w:hAnsi="Arial" w:cs="Arial"/>
          <w:b/>
          <w:bCs/>
          <w:color w:val="000000"/>
        </w:rPr>
        <w:tab/>
        <w:t xml:space="preserve">Rationale for necessity of both </w:t>
      </w:r>
      <w:proofErr w:type="spellStart"/>
      <w:r>
        <w:rPr>
          <w:rFonts w:ascii="Arial" w:hAnsi="Arial" w:cs="Arial"/>
          <w:b/>
          <w:bCs/>
          <w:color w:val="000000"/>
        </w:rPr>
        <w:t>xDD</w:t>
      </w:r>
      <w:proofErr w:type="spellEnd"/>
      <w:r>
        <w:rPr>
          <w:rFonts w:ascii="Arial" w:hAnsi="Arial" w:cs="Arial"/>
          <w:b/>
          <w:bCs/>
          <w:color w:val="000000"/>
        </w:rPr>
        <w:t xml:space="preserve"> and </w:t>
      </w:r>
      <w:proofErr w:type="spellStart"/>
      <w:r>
        <w:rPr>
          <w:rFonts w:ascii="Arial" w:hAnsi="Arial" w:cs="Arial"/>
          <w:b/>
          <w:bCs/>
          <w:color w:val="000000"/>
        </w:rPr>
        <w:t>FRx</w:t>
      </w:r>
      <w:proofErr w:type="spellEnd"/>
      <w:r>
        <w:rPr>
          <w:rFonts w:ascii="Arial" w:hAnsi="Arial" w:cs="Arial"/>
          <w:b/>
          <w:bCs/>
          <w:color w:val="000000"/>
        </w:rPr>
        <w:t xml:space="preserve"> differentiations for per-UE capability</w:t>
      </w:r>
    </w:p>
    <w:p w14:paraId="7CD85129" w14:textId="77777777" w:rsidR="000D7BEE" w:rsidRPr="00E06CCE" w:rsidRDefault="000D7BEE" w:rsidP="000D7BEE">
      <w:pPr>
        <w:spacing w:after="120"/>
        <w:ind w:left="567"/>
        <w:jc w:val="both"/>
        <w:rPr>
          <w:rFonts w:ascii="Arial" w:hAnsi="Arial" w:cs="Arial"/>
          <w:color w:val="000000"/>
        </w:rPr>
      </w:pPr>
      <w:r>
        <w:rPr>
          <w:rFonts w:ascii="Arial" w:eastAsia="Yu Mincho" w:hAnsi="Arial" w:cs="Arial"/>
          <w:color w:val="000000"/>
        </w:rPr>
        <w:t xml:space="preserve">RAN2 did not discuss the RAN1 LS on </w:t>
      </w:r>
      <w:r>
        <w:rPr>
          <w:rFonts w:ascii="Arial" w:hAnsi="Arial" w:cs="Arial"/>
          <w:bCs/>
          <w:color w:val="000000"/>
        </w:rPr>
        <w:t>XDD-FRX Differentiation</w:t>
      </w:r>
      <w:r>
        <w:rPr>
          <w:rFonts w:ascii="Arial" w:eastAsia="Yu Mincho" w:hAnsi="Arial" w:cs="Arial"/>
          <w:color w:val="000000"/>
        </w:rPr>
        <w:t xml:space="preserve"> (</w:t>
      </w:r>
      <w:r w:rsidRPr="0015441A">
        <w:rPr>
          <w:rFonts w:ascii="Arial" w:eastAsia="Yu Mincho" w:hAnsi="Arial" w:cs="Arial"/>
          <w:color w:val="000000"/>
        </w:rPr>
        <w:t>R1-1913579</w:t>
      </w:r>
      <w:r>
        <w:rPr>
          <w:rFonts w:ascii="Arial" w:eastAsia="Yu Mincho" w:hAnsi="Arial" w:cs="Arial"/>
          <w:color w:val="000000"/>
        </w:rPr>
        <w:t>/</w:t>
      </w:r>
      <w:r w:rsidRPr="0015441A">
        <w:rPr>
          <w:rFonts w:ascii="Arial" w:eastAsia="Yu Mincho" w:hAnsi="Arial" w:cs="Arial"/>
          <w:color w:val="000000"/>
        </w:rPr>
        <w:t>R2-2000013</w:t>
      </w:r>
      <w:r>
        <w:rPr>
          <w:rFonts w:ascii="Arial" w:eastAsia="Yu Mincho" w:hAnsi="Arial" w:cs="Arial"/>
          <w:color w:val="000000"/>
        </w:rPr>
        <w:t>)</w:t>
      </w:r>
      <w:r w:rsidRPr="0015441A">
        <w:rPr>
          <w:rFonts w:ascii="Arial" w:eastAsia="Yu Mincho" w:hAnsi="Arial" w:cs="Arial"/>
          <w:color w:val="000000"/>
        </w:rPr>
        <w:t xml:space="preserve"> </w:t>
      </w:r>
      <w:r>
        <w:rPr>
          <w:rFonts w:ascii="Arial" w:eastAsia="Yu Mincho" w:hAnsi="Arial" w:cs="Arial"/>
          <w:color w:val="000000"/>
        </w:rPr>
        <w:t>at the RAN2#109-e meeting, but RAN2 would anyway appreciate to be provided with rationale in case Per-UE capability with both FDD/TDD and FR1/FR2 differentiations is deemed as necessary for a feature.</w:t>
      </w:r>
      <w:r w:rsidRPr="00E06CCE">
        <w:rPr>
          <w:rFonts w:ascii="Arial" w:hAnsi="Arial" w:cs="Arial"/>
          <w:color w:val="000000"/>
        </w:rPr>
        <w:t xml:space="preserve"> </w:t>
      </w:r>
    </w:p>
    <w:p w14:paraId="03BC9375" w14:textId="77777777" w:rsidR="00C473A5" w:rsidRDefault="00C473A5" w:rsidP="00A9264A">
      <w:pPr>
        <w:pStyle w:val="Heading1"/>
        <w:ind w:left="0" w:firstLine="0"/>
        <w:sectPr w:rsidR="00C473A5" w:rsidSect="00A9264A">
          <w:headerReference w:type="even" r:id="rId13"/>
          <w:footerReference w:type="default" r:id="rId14"/>
          <w:footnotePr>
            <w:numRestart w:val="eachSect"/>
          </w:footnotePr>
          <w:pgSz w:w="11907" w:h="16840" w:code="9"/>
          <w:pgMar w:top="1418" w:right="1134" w:bottom="1134" w:left="1134" w:header="680" w:footer="567" w:gutter="0"/>
          <w:cols w:space="720"/>
          <w:docGrid w:linePitch="272"/>
        </w:sectPr>
      </w:pPr>
    </w:p>
    <w:p w14:paraId="7471ABD1" w14:textId="77777777" w:rsidR="00C01F33" w:rsidRPr="00CE0424" w:rsidRDefault="00C01F33" w:rsidP="00A9264A">
      <w:pPr>
        <w:pStyle w:val="Heading1"/>
        <w:ind w:left="0" w:firstLine="0"/>
      </w:pPr>
      <w:r w:rsidRPr="00CE0424">
        <w:lastRenderedPageBreak/>
        <w:t>Conclusion</w:t>
      </w:r>
    </w:p>
    <w:p w14:paraId="5CB0A04E" w14:textId="77777777" w:rsidR="006E1C82" w:rsidRDefault="006E1C82" w:rsidP="008E065E">
      <w:pPr>
        <w:pStyle w:val="BodyText"/>
        <w:rPr>
          <w:b/>
          <w:bCs/>
        </w:rPr>
      </w:pPr>
    </w:p>
    <w:p w14:paraId="7F02C213"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9F9E719" w14:textId="6D749707" w:rsidR="00BF78C2" w:rsidRDefault="006E1C82">
      <w:pPr>
        <w:pStyle w:val="TableofFigures"/>
        <w:tabs>
          <w:tab w:val="right" w:leader="dot" w:pos="9628"/>
        </w:tabs>
        <w:rPr>
          <w:rFonts w:asciiTheme="minorHAnsi" w:eastAsiaTheme="minorEastAsia" w:hAnsiTheme="minorHAnsi" w:cstheme="minorBidi"/>
          <w:b w:val="0"/>
          <w:noProof/>
          <w:sz w:val="22"/>
          <w:szCs w:val="22"/>
          <w:lang w:val="en-SE"/>
        </w:rPr>
      </w:pPr>
      <w:r>
        <w:rPr>
          <w:b w:val="0"/>
          <w:bCs/>
          <w:lang w:val="en-US"/>
        </w:rPr>
        <w:fldChar w:fldCharType="begin"/>
      </w:r>
      <w:r>
        <w:rPr>
          <w:bCs/>
          <w:lang w:val="en-US"/>
        </w:rPr>
        <w:instrText xml:space="preserve"> TOC \n \h \z \t "Proposal" \c </w:instrText>
      </w:r>
      <w:r>
        <w:rPr>
          <w:b w:val="0"/>
          <w:bCs/>
          <w:lang w:val="en-US"/>
        </w:rPr>
        <w:fldChar w:fldCharType="separate"/>
      </w:r>
      <w:hyperlink w:anchor="_Toc135039471" w:history="1">
        <w:r w:rsidR="00BF78C2" w:rsidRPr="00075131">
          <w:rPr>
            <w:rStyle w:val="Hyperlink"/>
            <w:noProof/>
          </w:rPr>
          <w:t>Proposal 1</w:t>
        </w:r>
        <w:r w:rsidR="00BF78C2">
          <w:rPr>
            <w:rFonts w:asciiTheme="minorHAnsi" w:eastAsiaTheme="minorEastAsia" w:hAnsiTheme="minorHAnsi" w:cstheme="minorBidi"/>
            <w:b w:val="0"/>
            <w:noProof/>
            <w:sz w:val="22"/>
            <w:szCs w:val="22"/>
            <w:lang w:val="en-SE"/>
          </w:rPr>
          <w:tab/>
        </w:r>
        <w:r w:rsidR="00BF78C2" w:rsidRPr="00075131">
          <w:rPr>
            <w:rStyle w:val="Hyperlink"/>
            <w:noProof/>
          </w:rPr>
          <w:t xml:space="preserve">The UE features related to </w:t>
        </w:r>
        <w:r w:rsidR="00BF78C2" w:rsidRPr="00075131">
          <w:rPr>
            <w:rStyle w:val="Hyperlink"/>
            <w:noProof/>
            <w:lang w:eastAsia="ko-KR"/>
          </w:rPr>
          <w:t>the multi-TRP extension of the unified TCI framework are provided per band.</w:t>
        </w:r>
      </w:hyperlink>
    </w:p>
    <w:p w14:paraId="73238677" w14:textId="302E71DD" w:rsidR="00BF78C2" w:rsidRDefault="00B31E5D">
      <w:pPr>
        <w:pStyle w:val="TableofFigures"/>
        <w:tabs>
          <w:tab w:val="right" w:leader="dot" w:pos="9628"/>
        </w:tabs>
        <w:rPr>
          <w:rFonts w:asciiTheme="minorHAnsi" w:eastAsiaTheme="minorEastAsia" w:hAnsiTheme="minorHAnsi" w:cstheme="minorBidi"/>
          <w:b w:val="0"/>
          <w:noProof/>
          <w:sz w:val="22"/>
          <w:szCs w:val="22"/>
          <w:lang w:val="en-SE"/>
        </w:rPr>
      </w:pPr>
      <w:hyperlink w:anchor="_Toc135039472" w:history="1">
        <w:r w:rsidR="00BF78C2" w:rsidRPr="00075131">
          <w:rPr>
            <w:rStyle w:val="Hyperlink"/>
            <w:noProof/>
          </w:rPr>
          <w:t>Proposal 2</w:t>
        </w:r>
        <w:r w:rsidR="00BF78C2">
          <w:rPr>
            <w:rFonts w:asciiTheme="minorHAnsi" w:eastAsiaTheme="minorEastAsia" w:hAnsiTheme="minorHAnsi" w:cstheme="minorBidi"/>
            <w:b w:val="0"/>
            <w:noProof/>
            <w:sz w:val="22"/>
            <w:szCs w:val="22"/>
            <w:lang w:val="en-SE"/>
          </w:rPr>
          <w:tab/>
        </w:r>
        <w:r w:rsidR="00BF78C2" w:rsidRPr="00075131">
          <w:rPr>
            <w:rStyle w:val="Hyperlink"/>
            <w:noProof/>
          </w:rPr>
          <w:t xml:space="preserve">The UE features related to </w:t>
        </w:r>
        <w:r w:rsidR="00BF78C2" w:rsidRPr="00075131">
          <w:rPr>
            <w:rStyle w:val="Hyperlink"/>
            <w:noProof/>
            <w:lang w:eastAsia="ko-KR"/>
          </w:rPr>
          <w:t>two TAs for multi-DCI based multi-TRP operation are provided per band.</w:t>
        </w:r>
      </w:hyperlink>
    </w:p>
    <w:p w14:paraId="34EA8203" w14:textId="35F7C228" w:rsidR="00BF78C2" w:rsidRDefault="00B31E5D">
      <w:pPr>
        <w:pStyle w:val="TableofFigures"/>
        <w:tabs>
          <w:tab w:val="right" w:leader="dot" w:pos="9628"/>
        </w:tabs>
        <w:rPr>
          <w:rFonts w:asciiTheme="minorHAnsi" w:eastAsiaTheme="minorEastAsia" w:hAnsiTheme="minorHAnsi" w:cstheme="minorBidi"/>
          <w:b w:val="0"/>
          <w:noProof/>
          <w:sz w:val="22"/>
          <w:szCs w:val="22"/>
          <w:lang w:val="en-SE"/>
        </w:rPr>
      </w:pPr>
      <w:hyperlink w:anchor="_Toc135039473" w:history="1">
        <w:r w:rsidR="00BF78C2" w:rsidRPr="00075131">
          <w:rPr>
            <w:rStyle w:val="Hyperlink"/>
            <w:noProof/>
          </w:rPr>
          <w:t>Proposal 3</w:t>
        </w:r>
        <w:r w:rsidR="00BF78C2">
          <w:rPr>
            <w:rFonts w:asciiTheme="minorHAnsi" w:eastAsiaTheme="minorEastAsia" w:hAnsiTheme="minorHAnsi" w:cstheme="minorBidi"/>
            <w:b w:val="0"/>
            <w:noProof/>
            <w:sz w:val="22"/>
            <w:szCs w:val="22"/>
            <w:lang w:val="en-SE"/>
          </w:rPr>
          <w:tab/>
        </w:r>
        <w:r w:rsidR="00BF78C2" w:rsidRPr="00075131">
          <w:rPr>
            <w:rStyle w:val="Hyperlink"/>
            <w:noProof/>
          </w:rPr>
          <w:t xml:space="preserve">Support </w:t>
        </w:r>
        <w:r w:rsidR="00BF78C2" w:rsidRPr="00075131">
          <w:rPr>
            <w:rStyle w:val="Hyperlink"/>
            <w:rFonts w:ascii="Times" w:hAnsi="Times"/>
            <w:noProof/>
          </w:rPr>
          <w:t>D</w:t>
        </w:r>
        <w:r w:rsidR="00BF78C2" w:rsidRPr="00075131">
          <w:rPr>
            <w:rStyle w:val="Hyperlink"/>
            <w:rFonts w:ascii="Times" w:hAnsi="Times"/>
            <w:noProof/>
            <w:vertAlign w:val="subscript"/>
          </w:rPr>
          <w:t>basic</w:t>
        </w:r>
        <w:r w:rsidR="00BF78C2" w:rsidRPr="00075131">
          <w:rPr>
            <w:rStyle w:val="Hyperlink"/>
            <w:noProof/>
          </w:rPr>
          <w:t xml:space="preserve"> = 28 symbols or equivalently 2 slots</w:t>
        </w:r>
      </w:hyperlink>
    </w:p>
    <w:p w14:paraId="238A6D75" w14:textId="4523BF61" w:rsidR="00BF78C2" w:rsidRDefault="00B31E5D">
      <w:pPr>
        <w:pStyle w:val="TableofFigures"/>
        <w:tabs>
          <w:tab w:val="right" w:leader="dot" w:pos="9628"/>
        </w:tabs>
        <w:rPr>
          <w:rFonts w:asciiTheme="minorHAnsi" w:eastAsiaTheme="minorEastAsia" w:hAnsiTheme="minorHAnsi" w:cstheme="minorBidi"/>
          <w:b w:val="0"/>
          <w:noProof/>
          <w:sz w:val="22"/>
          <w:szCs w:val="22"/>
          <w:lang w:val="en-SE"/>
        </w:rPr>
      </w:pPr>
      <w:hyperlink w:anchor="_Toc135039474" w:history="1">
        <w:r w:rsidR="00BF78C2" w:rsidRPr="00075131">
          <w:rPr>
            <w:rStyle w:val="Hyperlink"/>
            <w:noProof/>
          </w:rPr>
          <w:t>Proposal 4</w:t>
        </w:r>
        <w:r w:rsidR="00BF78C2">
          <w:rPr>
            <w:rFonts w:asciiTheme="minorHAnsi" w:eastAsiaTheme="minorEastAsia" w:hAnsiTheme="minorHAnsi" w:cstheme="minorBidi"/>
            <w:b w:val="0"/>
            <w:noProof/>
            <w:sz w:val="22"/>
            <w:szCs w:val="22"/>
            <w:lang w:val="en-SE"/>
          </w:rPr>
          <w:tab/>
        </w:r>
        <w:r w:rsidR="00BF78C2" w:rsidRPr="00075131">
          <w:rPr>
            <w:rStyle w:val="Hyperlink"/>
            <w:noProof/>
            <w:lang w:val="en-US"/>
          </w:rPr>
          <w:t>Introduce UE capability for orphan RE handling as below.</w:t>
        </w:r>
      </w:hyperlink>
    </w:p>
    <w:p w14:paraId="4C52CEA0" w14:textId="1095D61B" w:rsidR="006E1C82" w:rsidRPr="00CE0424" w:rsidRDefault="006E1C82" w:rsidP="006E1C82">
      <w:pPr>
        <w:pStyle w:val="BodyText"/>
        <w:rPr>
          <w:b/>
          <w:bCs/>
        </w:rPr>
      </w:pPr>
      <w:r>
        <w:rPr>
          <w:b/>
          <w:bCs/>
          <w:lang w:val="en-US"/>
        </w:rPr>
        <w:fldChar w:fldCharType="end"/>
      </w:r>
      <w:r w:rsidRPr="00CE0424">
        <w:rPr>
          <w:b/>
          <w:bCs/>
        </w:rPr>
        <w:t xml:space="preserve"> </w:t>
      </w:r>
    </w:p>
    <w:p w14:paraId="0596EFFD" w14:textId="77777777" w:rsidR="00C01F33" w:rsidRPr="00CE0424" w:rsidRDefault="00C01F33" w:rsidP="006E062C"/>
    <w:p w14:paraId="0A817BA1" w14:textId="77777777" w:rsidR="00F507D1" w:rsidRPr="00CE0424" w:rsidRDefault="00F507D1" w:rsidP="00CE0424">
      <w:pPr>
        <w:pStyle w:val="Heading1"/>
      </w:pPr>
      <w:bookmarkStart w:id="9" w:name="_In-sequence_SDU_delivery"/>
      <w:bookmarkEnd w:id="9"/>
      <w:r w:rsidRPr="00CE0424">
        <w:t>References</w:t>
      </w:r>
    </w:p>
    <w:p w14:paraId="07E25864" w14:textId="77777777" w:rsidR="00DC311F" w:rsidRPr="003C445C" w:rsidRDefault="000D7BEE" w:rsidP="000D7BEE">
      <w:pPr>
        <w:pStyle w:val="Reference"/>
        <w:overflowPunct/>
        <w:autoSpaceDE/>
        <w:autoSpaceDN/>
        <w:adjustRightInd/>
        <w:spacing w:line="259" w:lineRule="auto"/>
        <w:textAlignment w:val="auto"/>
      </w:pPr>
      <w:bookmarkStart w:id="10" w:name="_Ref83273940"/>
      <w:bookmarkStart w:id="11" w:name="_Ref134870132"/>
      <w:bookmarkStart w:id="12" w:name="_Ref174151459"/>
      <w:bookmarkStart w:id="13" w:name="_Ref189809556"/>
      <w:r w:rsidRPr="004F0473">
        <w:t>R1-2001513</w:t>
      </w:r>
      <w:r>
        <w:t xml:space="preserve">, </w:t>
      </w:r>
      <w:r w:rsidRPr="004F0473">
        <w:t>Guidelines for UE capability definitions</w:t>
      </w:r>
      <w:bookmarkEnd w:id="10"/>
      <w:r w:rsidR="00070E4A">
        <w:t xml:space="preserve">, </w:t>
      </w:r>
      <w:r w:rsidR="00070E4A">
        <w:rPr>
          <w:rFonts w:cs="Arial"/>
          <w:color w:val="000000"/>
        </w:rPr>
        <w:t>RAN2,</w:t>
      </w:r>
      <w:bookmarkEnd w:id="11"/>
    </w:p>
    <w:p w14:paraId="16D0EFE7" w14:textId="77777777" w:rsidR="003C445C" w:rsidRDefault="003C445C" w:rsidP="003C445C">
      <w:pPr>
        <w:pStyle w:val="Reference"/>
      </w:pPr>
      <w:bookmarkStart w:id="14" w:name="_Ref134804170"/>
      <w:r>
        <w:t>3GPP TR 38.822, v 17.0.0,</w:t>
      </w:r>
      <w:r w:rsidRPr="00CB2048">
        <w:rPr>
          <w:rFonts w:cs="Arial"/>
          <w:color w:val="000000"/>
        </w:rPr>
        <w:t xml:space="preserve"> </w:t>
      </w:r>
      <w:r>
        <w:t>NR; User Equipment (UE) feature list, RAN#99, v17.0.0, March 2023</w:t>
      </w:r>
      <w:bookmarkEnd w:id="14"/>
    </w:p>
    <w:p w14:paraId="4E260B3C" w14:textId="77777777" w:rsidR="003C445C" w:rsidRPr="00DC311F" w:rsidRDefault="003C445C" w:rsidP="003C445C">
      <w:pPr>
        <w:pStyle w:val="Reference"/>
        <w:numPr>
          <w:ilvl w:val="0"/>
          <w:numId w:val="0"/>
        </w:numPr>
        <w:overflowPunct/>
        <w:autoSpaceDE/>
        <w:autoSpaceDN/>
        <w:adjustRightInd/>
        <w:spacing w:line="259" w:lineRule="auto"/>
        <w:ind w:left="567"/>
        <w:textAlignment w:val="auto"/>
      </w:pPr>
    </w:p>
    <w:p w14:paraId="4FF2A588" w14:textId="77777777" w:rsidR="00310CB4" w:rsidRDefault="00310CB4">
      <w:pPr>
        <w:pStyle w:val="Reference"/>
        <w:numPr>
          <w:ilvl w:val="0"/>
          <w:numId w:val="0"/>
        </w:numPr>
        <w:overflowPunct/>
        <w:autoSpaceDE/>
        <w:autoSpaceDN/>
        <w:adjustRightInd/>
        <w:spacing w:line="259" w:lineRule="auto"/>
        <w:textAlignment w:val="auto"/>
      </w:pPr>
    </w:p>
    <w:p w14:paraId="73601155" w14:textId="7EC8705E" w:rsidR="00310CB4" w:rsidRDefault="00310CB4">
      <w:pPr>
        <w:pStyle w:val="Reference"/>
        <w:numPr>
          <w:ilvl w:val="0"/>
          <w:numId w:val="0"/>
        </w:numPr>
        <w:overflowPunct/>
        <w:autoSpaceDE/>
        <w:autoSpaceDN/>
        <w:adjustRightInd/>
        <w:spacing w:line="259" w:lineRule="auto"/>
        <w:textAlignment w:val="auto"/>
        <w:sectPr w:rsidR="00310CB4" w:rsidSect="00D67124">
          <w:footnotePr>
            <w:numRestart w:val="eachSect"/>
          </w:footnotePr>
          <w:pgSz w:w="11906" w:h="16838" w:code="9"/>
          <w:pgMar w:top="1134" w:right="1134" w:bottom="1418" w:left="1134" w:header="680" w:footer="567" w:gutter="0"/>
          <w:cols w:space="720"/>
          <w:docGrid w:linePitch="272"/>
        </w:sectPr>
      </w:pPr>
    </w:p>
    <w:bookmarkEnd w:id="12"/>
    <w:bookmarkEnd w:id="13"/>
    <w:p w14:paraId="34C2FB97" w14:textId="77777777" w:rsidR="00820EEC" w:rsidRPr="00820EEC" w:rsidRDefault="00820EEC" w:rsidP="00C44B5A"/>
    <w:sectPr w:rsidR="00820EEC" w:rsidRPr="00820EEC" w:rsidSect="00E718C3">
      <w:footnotePr>
        <w:numRestart w:val="eachSect"/>
      </w:footnotePr>
      <w:pgSz w:w="23811" w:h="16838" w:orient="landscape" w:code="8"/>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809B5" w14:textId="77777777" w:rsidR="00D74FCA" w:rsidRDefault="00D74FCA">
      <w:r>
        <w:separator/>
      </w:r>
    </w:p>
  </w:endnote>
  <w:endnote w:type="continuationSeparator" w:id="0">
    <w:p w14:paraId="1575DF8E" w14:textId="77777777" w:rsidR="00D74FCA" w:rsidRDefault="00D74FCA">
      <w:r>
        <w:continuationSeparator/>
      </w:r>
    </w:p>
  </w:endnote>
  <w:endnote w:type="continuationNotice" w:id="1">
    <w:p w14:paraId="45E34EED" w14:textId="77777777" w:rsidR="00D74FCA" w:rsidRDefault="00D74F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Gothic UI">
    <w:panose1 w:val="020B05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E072F" w14:textId="0DFFF9CB" w:rsidR="00CA3B6F" w:rsidRDefault="00CA3B6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686B2" w14:textId="77777777" w:rsidR="00D74FCA" w:rsidRDefault="00D74FCA">
      <w:r>
        <w:separator/>
      </w:r>
    </w:p>
  </w:footnote>
  <w:footnote w:type="continuationSeparator" w:id="0">
    <w:p w14:paraId="00795745" w14:textId="77777777" w:rsidR="00D74FCA" w:rsidRDefault="00D74FCA">
      <w:r>
        <w:continuationSeparator/>
      </w:r>
    </w:p>
  </w:footnote>
  <w:footnote w:type="continuationNotice" w:id="1">
    <w:p w14:paraId="3B62B855" w14:textId="77777777" w:rsidR="00D74FCA" w:rsidRDefault="00D74F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F6B09" w14:textId="77777777" w:rsidR="00CA3B6F" w:rsidRDefault="00CA3B6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76C039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4326A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0"/>
    <w:multiLevelType w:val="singleLevel"/>
    <w:tmpl w:val="3DDA243E"/>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00ED1FB2"/>
    <w:multiLevelType w:val="multilevel"/>
    <w:tmpl w:val="1F4C6112"/>
    <w:lvl w:ilvl="0">
      <w:start w:val="1"/>
      <w:numFmt w:val="decimal"/>
      <w:lvlText w:val="%1."/>
      <w:lvlJc w:val="left"/>
      <w:pPr>
        <w:ind w:left="1080" w:hanging="360"/>
      </w:p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064077E6"/>
    <w:multiLevelType w:val="multilevel"/>
    <w:tmpl w:val="2EC0C956"/>
    <w:lvl w:ilvl="0">
      <w:start w:val="4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6FD5522"/>
    <w:multiLevelType w:val="multilevel"/>
    <w:tmpl w:val="2E605E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B8D4328"/>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476259E"/>
    <w:multiLevelType w:val="hybridMultilevel"/>
    <w:tmpl w:val="A17A313C"/>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0" w15:restartNumberingAfterBreak="0">
    <w:nsid w:val="154E7D13"/>
    <w:multiLevelType w:val="multilevel"/>
    <w:tmpl w:val="85D60B6C"/>
    <w:lvl w:ilvl="0">
      <w:start w:val="3"/>
      <w:numFmt w:val="decimal"/>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E0C6474"/>
    <w:multiLevelType w:val="multilevel"/>
    <w:tmpl w:val="4B425567"/>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CF341E"/>
    <w:multiLevelType w:val="hybridMultilevel"/>
    <w:tmpl w:val="D3A867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D910F0"/>
    <w:multiLevelType w:val="hybridMultilevel"/>
    <w:tmpl w:val="AB1C01A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55B51CD"/>
    <w:multiLevelType w:val="hybridMultilevel"/>
    <w:tmpl w:val="7AB86BA0"/>
    <w:lvl w:ilvl="0" w:tplc="1CF665EC">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7936A0D"/>
    <w:multiLevelType w:val="multilevel"/>
    <w:tmpl w:val="27936A0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28DE187D"/>
    <w:multiLevelType w:val="multilevel"/>
    <w:tmpl w:val="1C47076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a-%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319E4346"/>
    <w:multiLevelType w:val="multilevel"/>
    <w:tmpl w:val="47282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58977A2"/>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620A0E"/>
    <w:multiLevelType w:val="multilevel"/>
    <w:tmpl w:val="1F4C6112"/>
    <w:lvl w:ilvl="0">
      <w:start w:val="1"/>
      <w:numFmt w:val="decimal"/>
      <w:lvlText w:val="%1."/>
      <w:lvlJc w:val="left"/>
      <w:pPr>
        <w:ind w:left="1080" w:hanging="360"/>
      </w:p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3" w15:restartNumberingAfterBreak="0">
    <w:nsid w:val="37230B5A"/>
    <w:multiLevelType w:val="multilevel"/>
    <w:tmpl w:val="68A97809"/>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BA0ACC36"/>
    <w:lvl w:ilvl="0" w:tplc="42982DBE">
      <w:start w:val="1"/>
      <w:numFmt w:val="decimal"/>
      <w:pStyle w:val="Proposal"/>
      <w:lvlText w:val="Proposal %1"/>
      <w:lvlJc w:val="left"/>
      <w:pPr>
        <w:tabs>
          <w:tab w:val="num" w:pos="1304"/>
        </w:tabs>
        <w:ind w:left="1304" w:hanging="1304"/>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2545502"/>
    <w:multiLevelType w:val="hybridMultilevel"/>
    <w:tmpl w:val="042E93E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DA2698"/>
    <w:multiLevelType w:val="multilevel"/>
    <w:tmpl w:val="AFD2825C"/>
    <w:lvl w:ilvl="0">
      <w:start w:val="1"/>
      <w:numFmt w:val="decimal"/>
      <w:lvlText w:val="%1."/>
      <w:lvlJc w:val="left"/>
      <w:pPr>
        <w:tabs>
          <w:tab w:val="num" w:pos="360"/>
        </w:tabs>
        <w:ind w:left="360" w:hanging="360"/>
      </w:pPr>
      <w:rPr>
        <w:rFonts w:hint="default"/>
        <w:sz w:val="20"/>
      </w:rPr>
    </w:lvl>
    <w:lvl w:ilvl="1">
      <w:start w:val="1"/>
      <w:numFmt w:val="decimal"/>
      <w:lvlText w:val="%2."/>
      <w:lvlJc w:val="left"/>
      <w:pPr>
        <w:tabs>
          <w:tab w:val="num" w:pos="1080"/>
        </w:tabs>
        <w:ind w:left="1080" w:hanging="360"/>
      </w:p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8" w15:restartNumberingAfterBreak="0">
    <w:nsid w:val="49BA3B21"/>
    <w:multiLevelType w:val="hybridMultilevel"/>
    <w:tmpl w:val="042E93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A310D4A"/>
    <w:multiLevelType w:val="hybridMultilevel"/>
    <w:tmpl w:val="E55E0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4C0FC8"/>
    <w:multiLevelType w:val="hybridMultilevel"/>
    <w:tmpl w:val="7F2AE9EC"/>
    <w:lvl w:ilvl="0" w:tplc="FDE00E80">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32F0066"/>
    <w:multiLevelType w:val="multilevel"/>
    <w:tmpl w:val="CADC0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55B50BF"/>
    <w:multiLevelType w:val="multilevel"/>
    <w:tmpl w:val="555B50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9CA670F"/>
    <w:multiLevelType w:val="multilevel"/>
    <w:tmpl w:val="446174A6"/>
    <w:lvl w:ilvl="0">
      <w:start w:val="1"/>
      <w:numFmt w:val="decimal"/>
      <w:lvlText w:val="%1."/>
      <w:lvlJc w:val="left"/>
      <w:pPr>
        <w:ind w:left="360" w:hanging="360"/>
      </w:p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5AC33BC0"/>
    <w:multiLevelType w:val="multilevel"/>
    <w:tmpl w:val="C5D06DC6"/>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tabs>
          <w:tab w:val="num" w:pos="1080"/>
        </w:tabs>
        <w:ind w:left="1080" w:hanging="360"/>
      </w:p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5A80BEF"/>
    <w:multiLevelType w:val="hybridMultilevel"/>
    <w:tmpl w:val="0F4ADD8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6EE5234"/>
    <w:multiLevelType w:val="hybridMultilevel"/>
    <w:tmpl w:val="9ECC8E6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3" w15:restartNumberingAfterBreak="0">
    <w:nsid w:val="7CCC6B3B"/>
    <w:multiLevelType w:val="hybridMultilevel"/>
    <w:tmpl w:val="2E0CFF8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727143946">
    <w:abstractNumId w:val="31"/>
  </w:num>
  <w:num w:numId="2" w16cid:durableId="603390425">
    <w:abstractNumId w:val="24"/>
  </w:num>
  <w:num w:numId="3" w16cid:durableId="1245645560">
    <w:abstractNumId w:val="2"/>
  </w:num>
  <w:num w:numId="4" w16cid:durableId="1934701853">
    <w:abstractNumId w:val="32"/>
  </w:num>
  <w:num w:numId="5" w16cid:durableId="45765894">
    <w:abstractNumId w:val="33"/>
  </w:num>
  <w:num w:numId="6" w16cid:durableId="768545465">
    <w:abstractNumId w:val="38"/>
  </w:num>
  <w:num w:numId="7" w16cid:durableId="929856091">
    <w:abstractNumId w:val="14"/>
  </w:num>
  <w:num w:numId="8" w16cid:durableId="36198589">
    <w:abstractNumId w:val="16"/>
  </w:num>
  <w:num w:numId="9" w16cid:durableId="1703478248">
    <w:abstractNumId w:val="8"/>
  </w:num>
  <w:num w:numId="10" w16cid:durableId="829251073">
    <w:abstractNumId w:val="40"/>
  </w:num>
  <w:num w:numId="11" w16cid:durableId="29115227">
    <w:abstractNumId w:val="20"/>
  </w:num>
  <w:num w:numId="12" w16cid:durableId="1266185596">
    <w:abstractNumId w:val="39"/>
  </w:num>
  <w:num w:numId="13" w16cid:durableId="166678708">
    <w:abstractNumId w:val="26"/>
  </w:num>
  <w:num w:numId="14" w16cid:durableId="1723942682">
    <w:abstractNumId w:val="21"/>
  </w:num>
  <w:num w:numId="15" w16cid:durableId="1357148410">
    <w:abstractNumId w:val="7"/>
  </w:num>
  <w:num w:numId="16" w16cid:durableId="73598532">
    <w:abstractNumId w:val="18"/>
  </w:num>
  <w:num w:numId="17" w16cid:durableId="68966879">
    <w:abstractNumId w:val="12"/>
  </w:num>
  <w:num w:numId="18" w16cid:durableId="1622302641">
    <w:abstractNumId w:val="13"/>
  </w:num>
  <w:num w:numId="19" w16cid:durableId="695352596">
    <w:abstractNumId w:val="10"/>
  </w:num>
  <w:num w:numId="20" w16cid:durableId="2133595363">
    <w:abstractNumId w:val="26"/>
  </w:num>
  <w:num w:numId="21" w16cid:durableId="24789547">
    <w:abstractNumId w:val="35"/>
  </w:num>
  <w:num w:numId="22" w16cid:durableId="907958081">
    <w:abstractNumId w:val="4"/>
    <w:lvlOverride w:ilvl="0">
      <w:startOverride w:val="1"/>
    </w:lvlOverride>
    <w:lvlOverride w:ilvl="1"/>
    <w:lvlOverride w:ilvl="2"/>
    <w:lvlOverride w:ilvl="3"/>
    <w:lvlOverride w:ilvl="4"/>
    <w:lvlOverride w:ilvl="5"/>
    <w:lvlOverride w:ilvl="6"/>
    <w:lvlOverride w:ilvl="7"/>
    <w:lvlOverride w:ilvl="8"/>
  </w:num>
  <w:num w:numId="23" w16cid:durableId="2041316173">
    <w:abstractNumId w:val="36"/>
    <w:lvlOverride w:ilvl="0">
      <w:startOverride w:val="1"/>
    </w:lvlOverride>
    <w:lvlOverride w:ilvl="1"/>
    <w:lvlOverride w:ilvl="2"/>
    <w:lvlOverride w:ilvl="3"/>
    <w:lvlOverride w:ilvl="4"/>
    <w:lvlOverride w:ilvl="5"/>
    <w:lvlOverride w:ilvl="6"/>
    <w:lvlOverride w:ilvl="7"/>
    <w:lvlOverride w:ilvl="8"/>
  </w:num>
  <w:num w:numId="24" w16cid:durableId="724529434">
    <w:abstractNumId w:val="11"/>
    <w:lvlOverride w:ilvl="0">
      <w:startOverride w:val="1"/>
    </w:lvlOverride>
    <w:lvlOverride w:ilvl="1"/>
    <w:lvlOverride w:ilvl="2"/>
    <w:lvlOverride w:ilvl="3"/>
    <w:lvlOverride w:ilvl="4"/>
    <w:lvlOverride w:ilvl="5"/>
    <w:lvlOverride w:ilvl="6"/>
    <w:lvlOverride w:ilvl="7"/>
    <w:lvlOverride w:ilvl="8"/>
  </w:num>
  <w:num w:numId="25" w16cid:durableId="1094210172">
    <w:abstractNumId w:val="17"/>
  </w:num>
  <w:num w:numId="26" w16cid:durableId="332877250">
    <w:abstractNumId w:val="23"/>
    <w:lvlOverride w:ilvl="0">
      <w:startOverride w:val="1"/>
    </w:lvlOverride>
    <w:lvlOverride w:ilvl="1"/>
    <w:lvlOverride w:ilvl="2"/>
    <w:lvlOverride w:ilvl="3"/>
    <w:lvlOverride w:ilvl="4"/>
    <w:lvlOverride w:ilvl="5"/>
    <w:lvlOverride w:ilvl="6"/>
    <w:lvlOverride w:ilvl="7"/>
    <w:lvlOverride w:ilvl="8"/>
  </w:num>
  <w:num w:numId="27" w16cid:durableId="8532102">
    <w:abstractNumId w:val="15"/>
  </w:num>
  <w:num w:numId="28" w16cid:durableId="790902126">
    <w:abstractNumId w:val="43"/>
  </w:num>
  <w:num w:numId="29" w16cid:durableId="962610704">
    <w:abstractNumId w:val="22"/>
  </w:num>
  <w:num w:numId="30" w16cid:durableId="705059199">
    <w:abstractNumId w:val="9"/>
  </w:num>
  <w:num w:numId="31" w16cid:durableId="1228223157">
    <w:abstractNumId w:val="41"/>
  </w:num>
  <w:num w:numId="32" w16cid:durableId="1646423094">
    <w:abstractNumId w:val="29"/>
  </w:num>
  <w:num w:numId="33" w16cid:durableId="1776945160">
    <w:abstractNumId w:val="37"/>
  </w:num>
  <w:num w:numId="34" w16cid:durableId="564219834">
    <w:abstractNumId w:val="37"/>
  </w:num>
  <w:num w:numId="35" w16cid:durableId="390077262">
    <w:abstractNumId w:val="27"/>
  </w:num>
  <w:num w:numId="36" w16cid:durableId="2120489962">
    <w:abstractNumId w:val="5"/>
  </w:num>
  <w:num w:numId="37" w16cid:durableId="325279515">
    <w:abstractNumId w:val="34"/>
  </w:num>
  <w:num w:numId="38" w16cid:durableId="1213885741">
    <w:abstractNumId w:val="19"/>
  </w:num>
  <w:num w:numId="39" w16cid:durableId="996762554">
    <w:abstractNumId w:val="6"/>
  </w:num>
  <w:num w:numId="40" w16cid:durableId="678504099">
    <w:abstractNumId w:val="30"/>
  </w:num>
  <w:num w:numId="41" w16cid:durableId="1112168013">
    <w:abstractNumId w:val="1"/>
  </w:num>
  <w:num w:numId="42" w16cid:durableId="1418015986">
    <w:abstractNumId w:val="0"/>
  </w:num>
  <w:num w:numId="43" w16cid:durableId="1309090102">
    <w:abstractNumId w:val="3"/>
  </w:num>
  <w:num w:numId="44" w16cid:durableId="116147354">
    <w:abstractNumId w:val="25"/>
  </w:num>
  <w:num w:numId="45" w16cid:durableId="680402022">
    <w:abstractNumId w:val="28"/>
  </w:num>
  <w:num w:numId="46" w16cid:durableId="931813677">
    <w:abstractNumId w:val="42"/>
  </w:num>
  <w:num w:numId="47" w16cid:durableId="1822308374">
    <w:abstractNumId w:val="24"/>
    <w:lvlOverride w:ilvl="0">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5B6"/>
    <w:rsid w:val="000006E1"/>
    <w:rsid w:val="00002A37"/>
    <w:rsid w:val="00003402"/>
    <w:rsid w:val="0000564C"/>
    <w:rsid w:val="00006446"/>
    <w:rsid w:val="00006896"/>
    <w:rsid w:val="00007CDC"/>
    <w:rsid w:val="000102EA"/>
    <w:rsid w:val="00011B28"/>
    <w:rsid w:val="00012AC5"/>
    <w:rsid w:val="00015D15"/>
    <w:rsid w:val="0001667E"/>
    <w:rsid w:val="00020BA3"/>
    <w:rsid w:val="00023453"/>
    <w:rsid w:val="00024E52"/>
    <w:rsid w:val="000252C2"/>
    <w:rsid w:val="0002564D"/>
    <w:rsid w:val="00025A2F"/>
    <w:rsid w:val="00025ECA"/>
    <w:rsid w:val="000275DA"/>
    <w:rsid w:val="000325B8"/>
    <w:rsid w:val="00034C15"/>
    <w:rsid w:val="00036BA1"/>
    <w:rsid w:val="000422E2"/>
    <w:rsid w:val="00042F22"/>
    <w:rsid w:val="000444EF"/>
    <w:rsid w:val="000509E9"/>
    <w:rsid w:val="00052A07"/>
    <w:rsid w:val="000534E3"/>
    <w:rsid w:val="0005606A"/>
    <w:rsid w:val="00057117"/>
    <w:rsid w:val="00057551"/>
    <w:rsid w:val="000616E7"/>
    <w:rsid w:val="0006487E"/>
    <w:rsid w:val="00065E1A"/>
    <w:rsid w:val="00070E4A"/>
    <w:rsid w:val="0007398A"/>
    <w:rsid w:val="00077E5F"/>
    <w:rsid w:val="0008036A"/>
    <w:rsid w:val="00081AE6"/>
    <w:rsid w:val="00081DEE"/>
    <w:rsid w:val="00082D21"/>
    <w:rsid w:val="000855EB"/>
    <w:rsid w:val="00085B52"/>
    <w:rsid w:val="00085DCD"/>
    <w:rsid w:val="000866F2"/>
    <w:rsid w:val="0008781F"/>
    <w:rsid w:val="0009009F"/>
    <w:rsid w:val="00091557"/>
    <w:rsid w:val="000924C1"/>
    <w:rsid w:val="000924F0"/>
    <w:rsid w:val="00093474"/>
    <w:rsid w:val="0009510F"/>
    <w:rsid w:val="000A1B7B"/>
    <w:rsid w:val="000A56F2"/>
    <w:rsid w:val="000A6ABC"/>
    <w:rsid w:val="000B2719"/>
    <w:rsid w:val="000B3759"/>
    <w:rsid w:val="000B3A8F"/>
    <w:rsid w:val="000B4952"/>
    <w:rsid w:val="000B4AB9"/>
    <w:rsid w:val="000B58C3"/>
    <w:rsid w:val="000B61E9"/>
    <w:rsid w:val="000B7C08"/>
    <w:rsid w:val="000C165A"/>
    <w:rsid w:val="000C2AB9"/>
    <w:rsid w:val="000C2E19"/>
    <w:rsid w:val="000C4171"/>
    <w:rsid w:val="000C467C"/>
    <w:rsid w:val="000D0D07"/>
    <w:rsid w:val="000D0D68"/>
    <w:rsid w:val="000D1B48"/>
    <w:rsid w:val="000D1C23"/>
    <w:rsid w:val="000D3D74"/>
    <w:rsid w:val="000D4797"/>
    <w:rsid w:val="000D7789"/>
    <w:rsid w:val="000D7BEE"/>
    <w:rsid w:val="000E0527"/>
    <w:rsid w:val="000E0C4F"/>
    <w:rsid w:val="000E1E92"/>
    <w:rsid w:val="000E2069"/>
    <w:rsid w:val="000E3159"/>
    <w:rsid w:val="000E440E"/>
    <w:rsid w:val="000F06D6"/>
    <w:rsid w:val="000F0855"/>
    <w:rsid w:val="000F0EB1"/>
    <w:rsid w:val="000F1106"/>
    <w:rsid w:val="000F3BE9"/>
    <w:rsid w:val="000F3F6C"/>
    <w:rsid w:val="000F5145"/>
    <w:rsid w:val="000F6DF3"/>
    <w:rsid w:val="001005FF"/>
    <w:rsid w:val="00105B74"/>
    <w:rsid w:val="001062FB"/>
    <w:rsid w:val="001063E6"/>
    <w:rsid w:val="00106ABB"/>
    <w:rsid w:val="001118D9"/>
    <w:rsid w:val="00113CF4"/>
    <w:rsid w:val="001153EA"/>
    <w:rsid w:val="00115643"/>
    <w:rsid w:val="00116765"/>
    <w:rsid w:val="001219F5"/>
    <w:rsid w:val="00121A20"/>
    <w:rsid w:val="0012377F"/>
    <w:rsid w:val="00124314"/>
    <w:rsid w:val="00125027"/>
    <w:rsid w:val="00126A35"/>
    <w:rsid w:val="00126B4A"/>
    <w:rsid w:val="00127004"/>
    <w:rsid w:val="00132FD0"/>
    <w:rsid w:val="00133CA4"/>
    <w:rsid w:val="001344C0"/>
    <w:rsid w:val="001346FA"/>
    <w:rsid w:val="001349F7"/>
    <w:rsid w:val="00134FE5"/>
    <w:rsid w:val="00135252"/>
    <w:rsid w:val="00136627"/>
    <w:rsid w:val="0013703A"/>
    <w:rsid w:val="00137AB5"/>
    <w:rsid w:val="00137F0B"/>
    <w:rsid w:val="00150889"/>
    <w:rsid w:val="00151E23"/>
    <w:rsid w:val="001526E0"/>
    <w:rsid w:val="00154746"/>
    <w:rsid w:val="001551B5"/>
    <w:rsid w:val="0015542A"/>
    <w:rsid w:val="00161325"/>
    <w:rsid w:val="00163458"/>
    <w:rsid w:val="001641D4"/>
    <w:rsid w:val="001659C1"/>
    <w:rsid w:val="0016766F"/>
    <w:rsid w:val="00172DE3"/>
    <w:rsid w:val="00173A8E"/>
    <w:rsid w:val="0017502C"/>
    <w:rsid w:val="00175DA8"/>
    <w:rsid w:val="00180C86"/>
    <w:rsid w:val="0018143F"/>
    <w:rsid w:val="00181FF8"/>
    <w:rsid w:val="00185B04"/>
    <w:rsid w:val="00190AC1"/>
    <w:rsid w:val="0019341A"/>
    <w:rsid w:val="00197DF9"/>
    <w:rsid w:val="001A1987"/>
    <w:rsid w:val="001A2564"/>
    <w:rsid w:val="001A6173"/>
    <w:rsid w:val="001A6CBA"/>
    <w:rsid w:val="001B0D97"/>
    <w:rsid w:val="001B5A5D"/>
    <w:rsid w:val="001C1CE5"/>
    <w:rsid w:val="001C3D2A"/>
    <w:rsid w:val="001C5B0D"/>
    <w:rsid w:val="001D51BA"/>
    <w:rsid w:val="001D53E7"/>
    <w:rsid w:val="001D61A0"/>
    <w:rsid w:val="001D6342"/>
    <w:rsid w:val="001D6D53"/>
    <w:rsid w:val="001E21F5"/>
    <w:rsid w:val="001E40D8"/>
    <w:rsid w:val="001E58E2"/>
    <w:rsid w:val="001E7AED"/>
    <w:rsid w:val="001F32CA"/>
    <w:rsid w:val="001F3916"/>
    <w:rsid w:val="001F54C5"/>
    <w:rsid w:val="001F662C"/>
    <w:rsid w:val="001F7074"/>
    <w:rsid w:val="00200490"/>
    <w:rsid w:val="00201F3A"/>
    <w:rsid w:val="00203F96"/>
    <w:rsid w:val="002069B2"/>
    <w:rsid w:val="00207FA3"/>
    <w:rsid w:val="00213D77"/>
    <w:rsid w:val="0021467E"/>
    <w:rsid w:val="00214C27"/>
    <w:rsid w:val="00214DA8"/>
    <w:rsid w:val="00215423"/>
    <w:rsid w:val="002158FA"/>
    <w:rsid w:val="00220600"/>
    <w:rsid w:val="002224DB"/>
    <w:rsid w:val="00222D5F"/>
    <w:rsid w:val="00223FCB"/>
    <w:rsid w:val="00224B72"/>
    <w:rsid w:val="002252C3"/>
    <w:rsid w:val="00225C54"/>
    <w:rsid w:val="00230765"/>
    <w:rsid w:val="00230D18"/>
    <w:rsid w:val="002319E4"/>
    <w:rsid w:val="00235632"/>
    <w:rsid w:val="00235872"/>
    <w:rsid w:val="00236F37"/>
    <w:rsid w:val="00241559"/>
    <w:rsid w:val="002435B3"/>
    <w:rsid w:val="002458EB"/>
    <w:rsid w:val="002500C8"/>
    <w:rsid w:val="00255972"/>
    <w:rsid w:val="00256EDD"/>
    <w:rsid w:val="00256F25"/>
    <w:rsid w:val="00257543"/>
    <w:rsid w:val="00257902"/>
    <w:rsid w:val="0025798A"/>
    <w:rsid w:val="002614F4"/>
    <w:rsid w:val="002617E7"/>
    <w:rsid w:val="00264228"/>
    <w:rsid w:val="00264334"/>
    <w:rsid w:val="0026473E"/>
    <w:rsid w:val="00266214"/>
    <w:rsid w:val="00267C83"/>
    <w:rsid w:val="0027144F"/>
    <w:rsid w:val="00271813"/>
    <w:rsid w:val="00271F3A"/>
    <w:rsid w:val="00273278"/>
    <w:rsid w:val="002737F4"/>
    <w:rsid w:val="00274516"/>
    <w:rsid w:val="00275843"/>
    <w:rsid w:val="002804AD"/>
    <w:rsid w:val="002805F5"/>
    <w:rsid w:val="00280751"/>
    <w:rsid w:val="002810AD"/>
    <w:rsid w:val="0028280A"/>
    <w:rsid w:val="00286ACD"/>
    <w:rsid w:val="00287410"/>
    <w:rsid w:val="00287838"/>
    <w:rsid w:val="002907B5"/>
    <w:rsid w:val="00291EB8"/>
    <w:rsid w:val="00292EB7"/>
    <w:rsid w:val="00294CF2"/>
    <w:rsid w:val="00296227"/>
    <w:rsid w:val="00296F44"/>
    <w:rsid w:val="0029777D"/>
    <w:rsid w:val="002A055E"/>
    <w:rsid w:val="002A1D4E"/>
    <w:rsid w:val="002A2869"/>
    <w:rsid w:val="002A34CA"/>
    <w:rsid w:val="002B24D6"/>
    <w:rsid w:val="002B3B30"/>
    <w:rsid w:val="002C064E"/>
    <w:rsid w:val="002C3F79"/>
    <w:rsid w:val="002C41E6"/>
    <w:rsid w:val="002C4D67"/>
    <w:rsid w:val="002C6B50"/>
    <w:rsid w:val="002D071A"/>
    <w:rsid w:val="002D2AC4"/>
    <w:rsid w:val="002D34B2"/>
    <w:rsid w:val="002D48B0"/>
    <w:rsid w:val="002D5B37"/>
    <w:rsid w:val="002D7637"/>
    <w:rsid w:val="002E17F2"/>
    <w:rsid w:val="002E33F0"/>
    <w:rsid w:val="002E3D29"/>
    <w:rsid w:val="002E4408"/>
    <w:rsid w:val="002E724B"/>
    <w:rsid w:val="002E79C5"/>
    <w:rsid w:val="002E7CAE"/>
    <w:rsid w:val="002F0DCE"/>
    <w:rsid w:val="002F2771"/>
    <w:rsid w:val="002F37A9"/>
    <w:rsid w:val="002F6BC2"/>
    <w:rsid w:val="00301CE6"/>
    <w:rsid w:val="0030256B"/>
    <w:rsid w:val="0030501F"/>
    <w:rsid w:val="00307BA1"/>
    <w:rsid w:val="00310CB4"/>
    <w:rsid w:val="00311702"/>
    <w:rsid w:val="00311E82"/>
    <w:rsid w:val="00313FD6"/>
    <w:rsid w:val="003143BD"/>
    <w:rsid w:val="00315363"/>
    <w:rsid w:val="003203ED"/>
    <w:rsid w:val="00322C9F"/>
    <w:rsid w:val="003240C3"/>
    <w:rsid w:val="00324D23"/>
    <w:rsid w:val="0033141A"/>
    <w:rsid w:val="00331751"/>
    <w:rsid w:val="00334579"/>
    <w:rsid w:val="00335858"/>
    <w:rsid w:val="00336BDA"/>
    <w:rsid w:val="00342BD7"/>
    <w:rsid w:val="00343AE6"/>
    <w:rsid w:val="00345C09"/>
    <w:rsid w:val="00346DB5"/>
    <w:rsid w:val="003477B1"/>
    <w:rsid w:val="00347978"/>
    <w:rsid w:val="00356578"/>
    <w:rsid w:val="00357163"/>
    <w:rsid w:val="00357380"/>
    <w:rsid w:val="00360294"/>
    <w:rsid w:val="003602D9"/>
    <w:rsid w:val="003604CE"/>
    <w:rsid w:val="00363273"/>
    <w:rsid w:val="00366407"/>
    <w:rsid w:val="00370E47"/>
    <w:rsid w:val="00373B39"/>
    <w:rsid w:val="003742AC"/>
    <w:rsid w:val="00375753"/>
    <w:rsid w:val="00375A44"/>
    <w:rsid w:val="00377CE1"/>
    <w:rsid w:val="0038498E"/>
    <w:rsid w:val="00385BF0"/>
    <w:rsid w:val="003917C1"/>
    <w:rsid w:val="003939FF"/>
    <w:rsid w:val="00395873"/>
    <w:rsid w:val="003A15E6"/>
    <w:rsid w:val="003A2223"/>
    <w:rsid w:val="003A2A0F"/>
    <w:rsid w:val="003A45A1"/>
    <w:rsid w:val="003A5B0A"/>
    <w:rsid w:val="003A6BAC"/>
    <w:rsid w:val="003A70A4"/>
    <w:rsid w:val="003A7EF3"/>
    <w:rsid w:val="003B025A"/>
    <w:rsid w:val="003B159C"/>
    <w:rsid w:val="003B369F"/>
    <w:rsid w:val="003B36A3"/>
    <w:rsid w:val="003B55B5"/>
    <w:rsid w:val="003B64BB"/>
    <w:rsid w:val="003B7FE5"/>
    <w:rsid w:val="003C0886"/>
    <w:rsid w:val="003C11C8"/>
    <w:rsid w:val="003C2702"/>
    <w:rsid w:val="003C445C"/>
    <w:rsid w:val="003C71EC"/>
    <w:rsid w:val="003C731D"/>
    <w:rsid w:val="003C7806"/>
    <w:rsid w:val="003C7BF7"/>
    <w:rsid w:val="003D109F"/>
    <w:rsid w:val="003D2478"/>
    <w:rsid w:val="003D3C45"/>
    <w:rsid w:val="003D5B1F"/>
    <w:rsid w:val="003D6FA1"/>
    <w:rsid w:val="003D74CA"/>
    <w:rsid w:val="003E15FA"/>
    <w:rsid w:val="003E19D5"/>
    <w:rsid w:val="003E55E4"/>
    <w:rsid w:val="003E6D7F"/>
    <w:rsid w:val="003E74E3"/>
    <w:rsid w:val="003E7B38"/>
    <w:rsid w:val="003F05C7"/>
    <w:rsid w:val="003F2CD4"/>
    <w:rsid w:val="003F6BBE"/>
    <w:rsid w:val="004000E8"/>
    <w:rsid w:val="00402E2B"/>
    <w:rsid w:val="0040512B"/>
    <w:rsid w:val="00405CA5"/>
    <w:rsid w:val="00407CD3"/>
    <w:rsid w:val="00410134"/>
    <w:rsid w:val="0041023B"/>
    <w:rsid w:val="00410B72"/>
    <w:rsid w:val="00410F18"/>
    <w:rsid w:val="004125F0"/>
    <w:rsid w:val="0041263E"/>
    <w:rsid w:val="00413063"/>
    <w:rsid w:val="00413AAC"/>
    <w:rsid w:val="00413E92"/>
    <w:rsid w:val="00421105"/>
    <w:rsid w:val="00421F46"/>
    <w:rsid w:val="00422AA4"/>
    <w:rsid w:val="00423034"/>
    <w:rsid w:val="004242F4"/>
    <w:rsid w:val="00424E62"/>
    <w:rsid w:val="00427248"/>
    <w:rsid w:val="00431F4B"/>
    <w:rsid w:val="004347EF"/>
    <w:rsid w:val="00437447"/>
    <w:rsid w:val="00441A92"/>
    <w:rsid w:val="004431DC"/>
    <w:rsid w:val="00444F56"/>
    <w:rsid w:val="00446488"/>
    <w:rsid w:val="00447D2D"/>
    <w:rsid w:val="004517AA"/>
    <w:rsid w:val="00452CAC"/>
    <w:rsid w:val="00453E3C"/>
    <w:rsid w:val="00457565"/>
    <w:rsid w:val="00457B71"/>
    <w:rsid w:val="00462C46"/>
    <w:rsid w:val="004669E2"/>
    <w:rsid w:val="00470C31"/>
    <w:rsid w:val="0047179B"/>
    <w:rsid w:val="00471DE0"/>
    <w:rsid w:val="004734D0"/>
    <w:rsid w:val="00473536"/>
    <w:rsid w:val="00474EC7"/>
    <w:rsid w:val="0047556B"/>
    <w:rsid w:val="00477768"/>
    <w:rsid w:val="004809E6"/>
    <w:rsid w:val="004821ED"/>
    <w:rsid w:val="0049243B"/>
    <w:rsid w:val="00492BC5"/>
    <w:rsid w:val="00493327"/>
    <w:rsid w:val="00495C59"/>
    <w:rsid w:val="004964F1"/>
    <w:rsid w:val="004A134D"/>
    <w:rsid w:val="004A16BC"/>
    <w:rsid w:val="004A2B94"/>
    <w:rsid w:val="004B2C45"/>
    <w:rsid w:val="004B6F6A"/>
    <w:rsid w:val="004B7C0C"/>
    <w:rsid w:val="004C0001"/>
    <w:rsid w:val="004C0477"/>
    <w:rsid w:val="004C0A1A"/>
    <w:rsid w:val="004C3898"/>
    <w:rsid w:val="004C4E2A"/>
    <w:rsid w:val="004C5AC9"/>
    <w:rsid w:val="004C5B57"/>
    <w:rsid w:val="004C6D72"/>
    <w:rsid w:val="004C7437"/>
    <w:rsid w:val="004D36B1"/>
    <w:rsid w:val="004D5A14"/>
    <w:rsid w:val="004D7EBD"/>
    <w:rsid w:val="004E2680"/>
    <w:rsid w:val="004E28F9"/>
    <w:rsid w:val="004E462E"/>
    <w:rsid w:val="004E56DC"/>
    <w:rsid w:val="004E70BF"/>
    <w:rsid w:val="004E76F4"/>
    <w:rsid w:val="004F0B4E"/>
    <w:rsid w:val="004F0B6C"/>
    <w:rsid w:val="004F2078"/>
    <w:rsid w:val="004F4DA3"/>
    <w:rsid w:val="00505F76"/>
    <w:rsid w:val="00506557"/>
    <w:rsid w:val="0050677A"/>
    <w:rsid w:val="00506AA0"/>
    <w:rsid w:val="005108D8"/>
    <w:rsid w:val="005116F9"/>
    <w:rsid w:val="00511EDA"/>
    <w:rsid w:val="005135CD"/>
    <w:rsid w:val="005153A7"/>
    <w:rsid w:val="00515851"/>
    <w:rsid w:val="00521466"/>
    <w:rsid w:val="005217B5"/>
    <w:rsid w:val="005219CF"/>
    <w:rsid w:val="005229D0"/>
    <w:rsid w:val="00522D86"/>
    <w:rsid w:val="00523CBA"/>
    <w:rsid w:val="00525A93"/>
    <w:rsid w:val="00534B59"/>
    <w:rsid w:val="00535AFE"/>
    <w:rsid w:val="00536759"/>
    <w:rsid w:val="00537C62"/>
    <w:rsid w:val="00537F39"/>
    <w:rsid w:val="00543E7B"/>
    <w:rsid w:val="00546970"/>
    <w:rsid w:val="00547422"/>
    <w:rsid w:val="005503F4"/>
    <w:rsid w:val="005505C2"/>
    <w:rsid w:val="00554E19"/>
    <w:rsid w:val="0055573C"/>
    <w:rsid w:val="005569D6"/>
    <w:rsid w:val="0056121F"/>
    <w:rsid w:val="00563732"/>
    <w:rsid w:val="00565E6D"/>
    <w:rsid w:val="00570366"/>
    <w:rsid w:val="005723FB"/>
    <w:rsid w:val="00572505"/>
    <w:rsid w:val="0057586F"/>
    <w:rsid w:val="00575951"/>
    <w:rsid w:val="00582809"/>
    <w:rsid w:val="00585E44"/>
    <w:rsid w:val="00586070"/>
    <w:rsid w:val="0058798C"/>
    <w:rsid w:val="005900FA"/>
    <w:rsid w:val="00592F6A"/>
    <w:rsid w:val="00593353"/>
    <w:rsid w:val="005935A4"/>
    <w:rsid w:val="005948C2"/>
    <w:rsid w:val="00595DCA"/>
    <w:rsid w:val="0059779B"/>
    <w:rsid w:val="005A209A"/>
    <w:rsid w:val="005A5987"/>
    <w:rsid w:val="005A5CE4"/>
    <w:rsid w:val="005A5DA9"/>
    <w:rsid w:val="005A662D"/>
    <w:rsid w:val="005B1409"/>
    <w:rsid w:val="005B1C27"/>
    <w:rsid w:val="005B35D7"/>
    <w:rsid w:val="005B392A"/>
    <w:rsid w:val="005B3AA3"/>
    <w:rsid w:val="005B64A7"/>
    <w:rsid w:val="005B6F83"/>
    <w:rsid w:val="005C33B0"/>
    <w:rsid w:val="005C74FB"/>
    <w:rsid w:val="005D1602"/>
    <w:rsid w:val="005D3C28"/>
    <w:rsid w:val="005E2D84"/>
    <w:rsid w:val="005E385F"/>
    <w:rsid w:val="005E5B81"/>
    <w:rsid w:val="005E6D34"/>
    <w:rsid w:val="005F2CB1"/>
    <w:rsid w:val="005F3025"/>
    <w:rsid w:val="005F618C"/>
    <w:rsid w:val="005F70BD"/>
    <w:rsid w:val="005F7FEA"/>
    <w:rsid w:val="006025B6"/>
    <w:rsid w:val="0060283C"/>
    <w:rsid w:val="00604F14"/>
    <w:rsid w:val="00611B83"/>
    <w:rsid w:val="00613257"/>
    <w:rsid w:val="006140D6"/>
    <w:rsid w:val="006156CC"/>
    <w:rsid w:val="00616760"/>
    <w:rsid w:val="00620388"/>
    <w:rsid w:val="00620A71"/>
    <w:rsid w:val="00620D80"/>
    <w:rsid w:val="006234A6"/>
    <w:rsid w:val="006277F4"/>
    <w:rsid w:val="00630001"/>
    <w:rsid w:val="006311B3"/>
    <w:rsid w:val="0063284C"/>
    <w:rsid w:val="0063636A"/>
    <w:rsid w:val="00636398"/>
    <w:rsid w:val="006368D3"/>
    <w:rsid w:val="006377EC"/>
    <w:rsid w:val="0064151F"/>
    <w:rsid w:val="00641533"/>
    <w:rsid w:val="00641F34"/>
    <w:rsid w:val="0064208D"/>
    <w:rsid w:val="006420C2"/>
    <w:rsid w:val="00643475"/>
    <w:rsid w:val="0064396A"/>
    <w:rsid w:val="00644ABE"/>
    <w:rsid w:val="0064624E"/>
    <w:rsid w:val="006479DF"/>
    <w:rsid w:val="00650AB9"/>
    <w:rsid w:val="00655733"/>
    <w:rsid w:val="00655ACD"/>
    <w:rsid w:val="00656A92"/>
    <w:rsid w:val="00656DDE"/>
    <w:rsid w:val="00660097"/>
    <w:rsid w:val="0066011D"/>
    <w:rsid w:val="006607C0"/>
    <w:rsid w:val="00660A5F"/>
    <w:rsid w:val="006613A6"/>
    <w:rsid w:val="006627A2"/>
    <w:rsid w:val="006634E6"/>
    <w:rsid w:val="00664363"/>
    <w:rsid w:val="006655EE"/>
    <w:rsid w:val="0066797C"/>
    <w:rsid w:val="00667EE7"/>
    <w:rsid w:val="00670922"/>
    <w:rsid w:val="00670BE1"/>
    <w:rsid w:val="0067218F"/>
    <w:rsid w:val="006741F2"/>
    <w:rsid w:val="00674CC3"/>
    <w:rsid w:val="00675C72"/>
    <w:rsid w:val="006771F9"/>
    <w:rsid w:val="006776D7"/>
    <w:rsid w:val="00681003"/>
    <w:rsid w:val="006817C9"/>
    <w:rsid w:val="00682D02"/>
    <w:rsid w:val="006835A4"/>
    <w:rsid w:val="00683ECE"/>
    <w:rsid w:val="006860E2"/>
    <w:rsid w:val="00695FC2"/>
    <w:rsid w:val="006962AE"/>
    <w:rsid w:val="00696949"/>
    <w:rsid w:val="00696E2A"/>
    <w:rsid w:val="00697052"/>
    <w:rsid w:val="006A42BC"/>
    <w:rsid w:val="006A46FB"/>
    <w:rsid w:val="006A5E28"/>
    <w:rsid w:val="006A697B"/>
    <w:rsid w:val="006A7AFF"/>
    <w:rsid w:val="006B1816"/>
    <w:rsid w:val="006B2099"/>
    <w:rsid w:val="006B50CF"/>
    <w:rsid w:val="006B5D79"/>
    <w:rsid w:val="006B6890"/>
    <w:rsid w:val="006C03B8"/>
    <w:rsid w:val="006C0AE8"/>
    <w:rsid w:val="006C3AAB"/>
    <w:rsid w:val="006C5EC9"/>
    <w:rsid w:val="006C6059"/>
    <w:rsid w:val="006C6BB2"/>
    <w:rsid w:val="006C7522"/>
    <w:rsid w:val="006D6F08"/>
    <w:rsid w:val="006E062C"/>
    <w:rsid w:val="006E1898"/>
    <w:rsid w:val="006E1C82"/>
    <w:rsid w:val="006E28B7"/>
    <w:rsid w:val="006E2A9B"/>
    <w:rsid w:val="006E3310"/>
    <w:rsid w:val="006E4E39"/>
    <w:rsid w:val="006E565E"/>
    <w:rsid w:val="006E673D"/>
    <w:rsid w:val="006E7D3B"/>
    <w:rsid w:val="006F1B70"/>
    <w:rsid w:val="006F341D"/>
    <w:rsid w:val="006F3786"/>
    <w:rsid w:val="006F3CDE"/>
    <w:rsid w:val="006F58D4"/>
    <w:rsid w:val="006F6582"/>
    <w:rsid w:val="006F686E"/>
    <w:rsid w:val="006F6A22"/>
    <w:rsid w:val="0070346E"/>
    <w:rsid w:val="00704EDB"/>
    <w:rsid w:val="00705233"/>
    <w:rsid w:val="00706101"/>
    <w:rsid w:val="00707072"/>
    <w:rsid w:val="00707D61"/>
    <w:rsid w:val="00711507"/>
    <w:rsid w:val="0071200B"/>
    <w:rsid w:val="00712287"/>
    <w:rsid w:val="00712772"/>
    <w:rsid w:val="007148D3"/>
    <w:rsid w:val="00714BB8"/>
    <w:rsid w:val="00715B9A"/>
    <w:rsid w:val="00721A3B"/>
    <w:rsid w:val="007230C9"/>
    <w:rsid w:val="007257D0"/>
    <w:rsid w:val="00726EA6"/>
    <w:rsid w:val="00727208"/>
    <w:rsid w:val="00727680"/>
    <w:rsid w:val="007277F0"/>
    <w:rsid w:val="00732940"/>
    <w:rsid w:val="007348B1"/>
    <w:rsid w:val="007362A6"/>
    <w:rsid w:val="007368CB"/>
    <w:rsid w:val="00736D7D"/>
    <w:rsid w:val="00740E58"/>
    <w:rsid w:val="007445A0"/>
    <w:rsid w:val="0074524B"/>
    <w:rsid w:val="00747AB8"/>
    <w:rsid w:val="00747D8B"/>
    <w:rsid w:val="00747DF6"/>
    <w:rsid w:val="00751228"/>
    <w:rsid w:val="00753E78"/>
    <w:rsid w:val="007571E1"/>
    <w:rsid w:val="007604B2"/>
    <w:rsid w:val="00760D5F"/>
    <w:rsid w:val="00761C16"/>
    <w:rsid w:val="007621D0"/>
    <w:rsid w:val="00765281"/>
    <w:rsid w:val="00766BAD"/>
    <w:rsid w:val="00767BBC"/>
    <w:rsid w:val="00770C80"/>
    <w:rsid w:val="007729A2"/>
    <w:rsid w:val="00773920"/>
    <w:rsid w:val="007755F2"/>
    <w:rsid w:val="00775E90"/>
    <w:rsid w:val="00776971"/>
    <w:rsid w:val="00780A80"/>
    <w:rsid w:val="0078177E"/>
    <w:rsid w:val="00782BCF"/>
    <w:rsid w:val="0078304C"/>
    <w:rsid w:val="00783673"/>
    <w:rsid w:val="00784163"/>
    <w:rsid w:val="00785482"/>
    <w:rsid w:val="00785490"/>
    <w:rsid w:val="007854FF"/>
    <w:rsid w:val="007925EA"/>
    <w:rsid w:val="00793CD8"/>
    <w:rsid w:val="0079558E"/>
    <w:rsid w:val="00795C92"/>
    <w:rsid w:val="00796231"/>
    <w:rsid w:val="007A19BA"/>
    <w:rsid w:val="007A1CB3"/>
    <w:rsid w:val="007A2088"/>
    <w:rsid w:val="007A306F"/>
    <w:rsid w:val="007A3BA7"/>
    <w:rsid w:val="007A43A6"/>
    <w:rsid w:val="007A502F"/>
    <w:rsid w:val="007A58A6"/>
    <w:rsid w:val="007A7FCC"/>
    <w:rsid w:val="007B39A0"/>
    <w:rsid w:val="007B3D2D"/>
    <w:rsid w:val="007B50AE"/>
    <w:rsid w:val="007B51DF"/>
    <w:rsid w:val="007C03C0"/>
    <w:rsid w:val="007C05DD"/>
    <w:rsid w:val="007C1EB5"/>
    <w:rsid w:val="007C35C1"/>
    <w:rsid w:val="007C3D18"/>
    <w:rsid w:val="007C60BF"/>
    <w:rsid w:val="007C66EE"/>
    <w:rsid w:val="007C6A07"/>
    <w:rsid w:val="007C75A1"/>
    <w:rsid w:val="007C77A5"/>
    <w:rsid w:val="007D04E5"/>
    <w:rsid w:val="007D195A"/>
    <w:rsid w:val="007D5901"/>
    <w:rsid w:val="007D7526"/>
    <w:rsid w:val="007D789F"/>
    <w:rsid w:val="007E4610"/>
    <w:rsid w:val="007E4715"/>
    <w:rsid w:val="007E505B"/>
    <w:rsid w:val="007E5BE4"/>
    <w:rsid w:val="007E627D"/>
    <w:rsid w:val="007E7091"/>
    <w:rsid w:val="007F00D7"/>
    <w:rsid w:val="007F2FD8"/>
    <w:rsid w:val="007F3C82"/>
    <w:rsid w:val="007F5AB8"/>
    <w:rsid w:val="007F696E"/>
    <w:rsid w:val="00803FAE"/>
    <w:rsid w:val="0080419B"/>
    <w:rsid w:val="0080605F"/>
    <w:rsid w:val="00807786"/>
    <w:rsid w:val="00811FCB"/>
    <w:rsid w:val="008158D6"/>
    <w:rsid w:val="008165E4"/>
    <w:rsid w:val="00817196"/>
    <w:rsid w:val="00820EEC"/>
    <w:rsid w:val="00821CC5"/>
    <w:rsid w:val="008235DB"/>
    <w:rsid w:val="00824AB4"/>
    <w:rsid w:val="00825C42"/>
    <w:rsid w:val="00825D25"/>
    <w:rsid w:val="00826D30"/>
    <w:rsid w:val="00827A27"/>
    <w:rsid w:val="00827D6F"/>
    <w:rsid w:val="00833379"/>
    <w:rsid w:val="0083548C"/>
    <w:rsid w:val="00835E68"/>
    <w:rsid w:val="00836923"/>
    <w:rsid w:val="0083722C"/>
    <w:rsid w:val="0083743E"/>
    <w:rsid w:val="008376AC"/>
    <w:rsid w:val="00841E18"/>
    <w:rsid w:val="008432CA"/>
    <w:rsid w:val="008444E8"/>
    <w:rsid w:val="00844E80"/>
    <w:rsid w:val="00846932"/>
    <w:rsid w:val="00846FE7"/>
    <w:rsid w:val="00856911"/>
    <w:rsid w:val="0085768A"/>
    <w:rsid w:val="00857CEE"/>
    <w:rsid w:val="0086507B"/>
    <w:rsid w:val="008677FD"/>
    <w:rsid w:val="008706D4"/>
    <w:rsid w:val="00870F8A"/>
    <w:rsid w:val="008719A4"/>
    <w:rsid w:val="00871D23"/>
    <w:rsid w:val="008741F6"/>
    <w:rsid w:val="00874312"/>
    <w:rsid w:val="0087437C"/>
    <w:rsid w:val="00875CD7"/>
    <w:rsid w:val="00876B4D"/>
    <w:rsid w:val="00877F18"/>
    <w:rsid w:val="008941E3"/>
    <w:rsid w:val="00894A88"/>
    <w:rsid w:val="00894EA1"/>
    <w:rsid w:val="00895386"/>
    <w:rsid w:val="008A21FF"/>
    <w:rsid w:val="008A2CE2"/>
    <w:rsid w:val="008A30AC"/>
    <w:rsid w:val="008A44B8"/>
    <w:rsid w:val="008A51A8"/>
    <w:rsid w:val="008A54C7"/>
    <w:rsid w:val="008A77D8"/>
    <w:rsid w:val="008B0483"/>
    <w:rsid w:val="008B120C"/>
    <w:rsid w:val="008B39A7"/>
    <w:rsid w:val="008B51A0"/>
    <w:rsid w:val="008B592A"/>
    <w:rsid w:val="008B7B5C"/>
    <w:rsid w:val="008C0C99"/>
    <w:rsid w:val="008C2017"/>
    <w:rsid w:val="008C4958"/>
    <w:rsid w:val="008C4BAA"/>
    <w:rsid w:val="008C6AE8"/>
    <w:rsid w:val="008C7573"/>
    <w:rsid w:val="008D00A5"/>
    <w:rsid w:val="008D34F1"/>
    <w:rsid w:val="008D39D8"/>
    <w:rsid w:val="008D6D1A"/>
    <w:rsid w:val="008D6EDE"/>
    <w:rsid w:val="008E065E"/>
    <w:rsid w:val="008E0927"/>
    <w:rsid w:val="008E1909"/>
    <w:rsid w:val="008E3435"/>
    <w:rsid w:val="008E5318"/>
    <w:rsid w:val="008E5F7E"/>
    <w:rsid w:val="008F065D"/>
    <w:rsid w:val="008F1C4E"/>
    <w:rsid w:val="008F1EAB"/>
    <w:rsid w:val="008F33DC"/>
    <w:rsid w:val="008F44C8"/>
    <w:rsid w:val="008F477F"/>
    <w:rsid w:val="008F708D"/>
    <w:rsid w:val="008F70DF"/>
    <w:rsid w:val="008F7D5C"/>
    <w:rsid w:val="00902350"/>
    <w:rsid w:val="0090336B"/>
    <w:rsid w:val="00903E80"/>
    <w:rsid w:val="009053AA"/>
    <w:rsid w:val="00905977"/>
    <w:rsid w:val="00906939"/>
    <w:rsid w:val="00910B7D"/>
    <w:rsid w:val="00911DFB"/>
    <w:rsid w:val="009139D9"/>
    <w:rsid w:val="00914AD8"/>
    <w:rsid w:val="00916079"/>
    <w:rsid w:val="00917CE9"/>
    <w:rsid w:val="00920BF2"/>
    <w:rsid w:val="00922010"/>
    <w:rsid w:val="00922BB1"/>
    <w:rsid w:val="009306A1"/>
    <w:rsid w:val="00931BD9"/>
    <w:rsid w:val="009368F3"/>
    <w:rsid w:val="0094035A"/>
    <w:rsid w:val="00941636"/>
    <w:rsid w:val="00943742"/>
    <w:rsid w:val="00945A1D"/>
    <w:rsid w:val="00945C05"/>
    <w:rsid w:val="00946945"/>
    <w:rsid w:val="00946C3C"/>
    <w:rsid w:val="00947713"/>
    <w:rsid w:val="00950DE7"/>
    <w:rsid w:val="00953920"/>
    <w:rsid w:val="00953D47"/>
    <w:rsid w:val="0095681E"/>
    <w:rsid w:val="009572D4"/>
    <w:rsid w:val="00961921"/>
    <w:rsid w:val="0096430A"/>
    <w:rsid w:val="0096554B"/>
    <w:rsid w:val="0096584A"/>
    <w:rsid w:val="00967FCD"/>
    <w:rsid w:val="00971F08"/>
    <w:rsid w:val="0097603D"/>
    <w:rsid w:val="009768B9"/>
    <w:rsid w:val="00976949"/>
    <w:rsid w:val="00980477"/>
    <w:rsid w:val="00982E57"/>
    <w:rsid w:val="0098390E"/>
    <w:rsid w:val="0098458C"/>
    <w:rsid w:val="00985253"/>
    <w:rsid w:val="009853B3"/>
    <w:rsid w:val="00990630"/>
    <w:rsid w:val="00991761"/>
    <w:rsid w:val="00994DCA"/>
    <w:rsid w:val="00994E1D"/>
    <w:rsid w:val="00995163"/>
    <w:rsid w:val="00996004"/>
    <w:rsid w:val="009960EC"/>
    <w:rsid w:val="009970DD"/>
    <w:rsid w:val="009A0FBA"/>
    <w:rsid w:val="009A1601"/>
    <w:rsid w:val="009A3BB6"/>
    <w:rsid w:val="009A462D"/>
    <w:rsid w:val="009A4DF2"/>
    <w:rsid w:val="009A5CBA"/>
    <w:rsid w:val="009B06B1"/>
    <w:rsid w:val="009B1F30"/>
    <w:rsid w:val="009B3AC2"/>
    <w:rsid w:val="009B4655"/>
    <w:rsid w:val="009B4DF4"/>
    <w:rsid w:val="009B564E"/>
    <w:rsid w:val="009B7E87"/>
    <w:rsid w:val="009C0169"/>
    <w:rsid w:val="009C1A4E"/>
    <w:rsid w:val="009C274A"/>
    <w:rsid w:val="009C403E"/>
    <w:rsid w:val="009C5665"/>
    <w:rsid w:val="009D4FF0"/>
    <w:rsid w:val="009D63B4"/>
    <w:rsid w:val="009D703C"/>
    <w:rsid w:val="009D718F"/>
    <w:rsid w:val="009E068F"/>
    <w:rsid w:val="009E14E0"/>
    <w:rsid w:val="009E35DB"/>
    <w:rsid w:val="009E47A3"/>
    <w:rsid w:val="009F08F3"/>
    <w:rsid w:val="009F344F"/>
    <w:rsid w:val="00A000D8"/>
    <w:rsid w:val="00A02FC8"/>
    <w:rsid w:val="00A030F4"/>
    <w:rsid w:val="00A031D8"/>
    <w:rsid w:val="00A048A8"/>
    <w:rsid w:val="00A04F49"/>
    <w:rsid w:val="00A04F5E"/>
    <w:rsid w:val="00A107FD"/>
    <w:rsid w:val="00A13E54"/>
    <w:rsid w:val="00A155E9"/>
    <w:rsid w:val="00A17F63"/>
    <w:rsid w:val="00A2085F"/>
    <w:rsid w:val="00A2193B"/>
    <w:rsid w:val="00A2351A"/>
    <w:rsid w:val="00A264A9"/>
    <w:rsid w:val="00A266F2"/>
    <w:rsid w:val="00A26DCF"/>
    <w:rsid w:val="00A27785"/>
    <w:rsid w:val="00A30187"/>
    <w:rsid w:val="00A30565"/>
    <w:rsid w:val="00A33190"/>
    <w:rsid w:val="00A3448A"/>
    <w:rsid w:val="00A36297"/>
    <w:rsid w:val="00A41E2B"/>
    <w:rsid w:val="00A458F0"/>
    <w:rsid w:val="00A45B74"/>
    <w:rsid w:val="00A52E1D"/>
    <w:rsid w:val="00A61499"/>
    <w:rsid w:val="00A62A77"/>
    <w:rsid w:val="00A63483"/>
    <w:rsid w:val="00A657D7"/>
    <w:rsid w:val="00A660AC"/>
    <w:rsid w:val="00A67E6C"/>
    <w:rsid w:val="00A70C63"/>
    <w:rsid w:val="00A71B99"/>
    <w:rsid w:val="00A739D0"/>
    <w:rsid w:val="00A761D4"/>
    <w:rsid w:val="00A77EC4"/>
    <w:rsid w:val="00A90269"/>
    <w:rsid w:val="00A91CDB"/>
    <w:rsid w:val="00A9264A"/>
    <w:rsid w:val="00A92879"/>
    <w:rsid w:val="00A94247"/>
    <w:rsid w:val="00A9442A"/>
    <w:rsid w:val="00A97383"/>
    <w:rsid w:val="00AA016F"/>
    <w:rsid w:val="00AA0FFC"/>
    <w:rsid w:val="00AA1ED6"/>
    <w:rsid w:val="00AA3987"/>
    <w:rsid w:val="00AA51D6"/>
    <w:rsid w:val="00AA6E07"/>
    <w:rsid w:val="00AB054A"/>
    <w:rsid w:val="00AB0BC8"/>
    <w:rsid w:val="00AB11CA"/>
    <w:rsid w:val="00AB14D9"/>
    <w:rsid w:val="00AB2949"/>
    <w:rsid w:val="00AB2C12"/>
    <w:rsid w:val="00AB4AB8"/>
    <w:rsid w:val="00AB655E"/>
    <w:rsid w:val="00AC007F"/>
    <w:rsid w:val="00AC13F8"/>
    <w:rsid w:val="00AC1506"/>
    <w:rsid w:val="00AC1CBD"/>
    <w:rsid w:val="00AC2ECD"/>
    <w:rsid w:val="00AC3119"/>
    <w:rsid w:val="00AC49FB"/>
    <w:rsid w:val="00AC5A10"/>
    <w:rsid w:val="00AD0AA3"/>
    <w:rsid w:val="00AD128D"/>
    <w:rsid w:val="00AD20A0"/>
    <w:rsid w:val="00AD2ED0"/>
    <w:rsid w:val="00AD3F94"/>
    <w:rsid w:val="00AD4A5A"/>
    <w:rsid w:val="00AE27AC"/>
    <w:rsid w:val="00AE40E0"/>
    <w:rsid w:val="00AE4DBA"/>
    <w:rsid w:val="00AE4F07"/>
    <w:rsid w:val="00AF034F"/>
    <w:rsid w:val="00AF1C5D"/>
    <w:rsid w:val="00AF2640"/>
    <w:rsid w:val="00AF42D7"/>
    <w:rsid w:val="00B006FE"/>
    <w:rsid w:val="00B007CB"/>
    <w:rsid w:val="00B027E9"/>
    <w:rsid w:val="00B02AA9"/>
    <w:rsid w:val="00B02FA3"/>
    <w:rsid w:val="00B05084"/>
    <w:rsid w:val="00B06EF5"/>
    <w:rsid w:val="00B140DC"/>
    <w:rsid w:val="00B14C94"/>
    <w:rsid w:val="00B157F9"/>
    <w:rsid w:val="00B15D3B"/>
    <w:rsid w:val="00B20256"/>
    <w:rsid w:val="00B20A44"/>
    <w:rsid w:val="00B20D09"/>
    <w:rsid w:val="00B21D0B"/>
    <w:rsid w:val="00B22836"/>
    <w:rsid w:val="00B22A3E"/>
    <w:rsid w:val="00B26546"/>
    <w:rsid w:val="00B27182"/>
    <w:rsid w:val="00B2763F"/>
    <w:rsid w:val="00B27AAC"/>
    <w:rsid w:val="00B30929"/>
    <w:rsid w:val="00B31E5D"/>
    <w:rsid w:val="00B372AA"/>
    <w:rsid w:val="00B37B5A"/>
    <w:rsid w:val="00B40445"/>
    <w:rsid w:val="00B409E0"/>
    <w:rsid w:val="00B41888"/>
    <w:rsid w:val="00B45A52"/>
    <w:rsid w:val="00B46175"/>
    <w:rsid w:val="00B46207"/>
    <w:rsid w:val="00B5256F"/>
    <w:rsid w:val="00B548B7"/>
    <w:rsid w:val="00B567F1"/>
    <w:rsid w:val="00B664C7"/>
    <w:rsid w:val="00B70A7C"/>
    <w:rsid w:val="00B70CA4"/>
    <w:rsid w:val="00B739F6"/>
    <w:rsid w:val="00B74310"/>
    <w:rsid w:val="00B81A6C"/>
    <w:rsid w:val="00B81C35"/>
    <w:rsid w:val="00B83A6A"/>
    <w:rsid w:val="00B85587"/>
    <w:rsid w:val="00B85DE5"/>
    <w:rsid w:val="00B90F73"/>
    <w:rsid w:val="00B93B59"/>
    <w:rsid w:val="00B9406A"/>
    <w:rsid w:val="00B94E10"/>
    <w:rsid w:val="00BA2280"/>
    <w:rsid w:val="00BA2A08"/>
    <w:rsid w:val="00BA56D2"/>
    <w:rsid w:val="00BA76E0"/>
    <w:rsid w:val="00BA78DC"/>
    <w:rsid w:val="00BB0D25"/>
    <w:rsid w:val="00BB2100"/>
    <w:rsid w:val="00BB2A25"/>
    <w:rsid w:val="00BB355F"/>
    <w:rsid w:val="00BB3F83"/>
    <w:rsid w:val="00BB51E9"/>
    <w:rsid w:val="00BC0FDC"/>
    <w:rsid w:val="00BC3053"/>
    <w:rsid w:val="00BC4D2E"/>
    <w:rsid w:val="00BC7DC8"/>
    <w:rsid w:val="00BD48AC"/>
    <w:rsid w:val="00BD5F1A"/>
    <w:rsid w:val="00BD6902"/>
    <w:rsid w:val="00BD7C3C"/>
    <w:rsid w:val="00BE1234"/>
    <w:rsid w:val="00BE2FA6"/>
    <w:rsid w:val="00BE333F"/>
    <w:rsid w:val="00BE7406"/>
    <w:rsid w:val="00BE7603"/>
    <w:rsid w:val="00BF3279"/>
    <w:rsid w:val="00BF74C7"/>
    <w:rsid w:val="00BF78C2"/>
    <w:rsid w:val="00C015F1"/>
    <w:rsid w:val="00C01F33"/>
    <w:rsid w:val="00C02CC6"/>
    <w:rsid w:val="00C040F7"/>
    <w:rsid w:val="00C044AB"/>
    <w:rsid w:val="00C05706"/>
    <w:rsid w:val="00C07377"/>
    <w:rsid w:val="00C10478"/>
    <w:rsid w:val="00C12107"/>
    <w:rsid w:val="00C14D4B"/>
    <w:rsid w:val="00C15079"/>
    <w:rsid w:val="00C154BB"/>
    <w:rsid w:val="00C2091D"/>
    <w:rsid w:val="00C221E2"/>
    <w:rsid w:val="00C24AE0"/>
    <w:rsid w:val="00C256A6"/>
    <w:rsid w:val="00C279B5"/>
    <w:rsid w:val="00C27C45"/>
    <w:rsid w:val="00C31F10"/>
    <w:rsid w:val="00C361F6"/>
    <w:rsid w:val="00C3719D"/>
    <w:rsid w:val="00C37CB2"/>
    <w:rsid w:val="00C42056"/>
    <w:rsid w:val="00C43710"/>
    <w:rsid w:val="00C44B5A"/>
    <w:rsid w:val="00C473A5"/>
    <w:rsid w:val="00C54995"/>
    <w:rsid w:val="00C54D41"/>
    <w:rsid w:val="00C60357"/>
    <w:rsid w:val="00C60783"/>
    <w:rsid w:val="00C61AF1"/>
    <w:rsid w:val="00C62026"/>
    <w:rsid w:val="00C64672"/>
    <w:rsid w:val="00C70697"/>
    <w:rsid w:val="00C72093"/>
    <w:rsid w:val="00C72EF4"/>
    <w:rsid w:val="00C744FE"/>
    <w:rsid w:val="00C75D2F"/>
    <w:rsid w:val="00C767BE"/>
    <w:rsid w:val="00C76E3C"/>
    <w:rsid w:val="00C81146"/>
    <w:rsid w:val="00C81568"/>
    <w:rsid w:val="00C82B1F"/>
    <w:rsid w:val="00C83CAA"/>
    <w:rsid w:val="00C84B45"/>
    <w:rsid w:val="00C85B35"/>
    <w:rsid w:val="00C87A15"/>
    <w:rsid w:val="00C9027A"/>
    <w:rsid w:val="00C9068E"/>
    <w:rsid w:val="00C90A0B"/>
    <w:rsid w:val="00C934AB"/>
    <w:rsid w:val="00C93814"/>
    <w:rsid w:val="00C93C4B"/>
    <w:rsid w:val="00C944AB"/>
    <w:rsid w:val="00C954FE"/>
    <w:rsid w:val="00C95B40"/>
    <w:rsid w:val="00CA0581"/>
    <w:rsid w:val="00CA1ED8"/>
    <w:rsid w:val="00CA3B6F"/>
    <w:rsid w:val="00CA3DA2"/>
    <w:rsid w:val="00CA50AB"/>
    <w:rsid w:val="00CA61B4"/>
    <w:rsid w:val="00CB1F63"/>
    <w:rsid w:val="00CB2048"/>
    <w:rsid w:val="00CB5FEA"/>
    <w:rsid w:val="00CB6EED"/>
    <w:rsid w:val="00CB7170"/>
    <w:rsid w:val="00CC040E"/>
    <w:rsid w:val="00CC111F"/>
    <w:rsid w:val="00CC2011"/>
    <w:rsid w:val="00CC3EA0"/>
    <w:rsid w:val="00CC6138"/>
    <w:rsid w:val="00CC7B45"/>
    <w:rsid w:val="00CD1188"/>
    <w:rsid w:val="00CD2553"/>
    <w:rsid w:val="00CD2ED1"/>
    <w:rsid w:val="00CD337B"/>
    <w:rsid w:val="00CD4177"/>
    <w:rsid w:val="00CD4644"/>
    <w:rsid w:val="00CE0424"/>
    <w:rsid w:val="00CE36B8"/>
    <w:rsid w:val="00CE410B"/>
    <w:rsid w:val="00CE6F26"/>
    <w:rsid w:val="00CE7561"/>
    <w:rsid w:val="00CF1354"/>
    <w:rsid w:val="00CF24B4"/>
    <w:rsid w:val="00CF351F"/>
    <w:rsid w:val="00CF3B1F"/>
    <w:rsid w:val="00CF3BF6"/>
    <w:rsid w:val="00CF430A"/>
    <w:rsid w:val="00CF625B"/>
    <w:rsid w:val="00CF687E"/>
    <w:rsid w:val="00D00874"/>
    <w:rsid w:val="00D0349B"/>
    <w:rsid w:val="00D04C66"/>
    <w:rsid w:val="00D10249"/>
    <w:rsid w:val="00D115C3"/>
    <w:rsid w:val="00D11897"/>
    <w:rsid w:val="00D13110"/>
    <w:rsid w:val="00D13135"/>
    <w:rsid w:val="00D13E4E"/>
    <w:rsid w:val="00D14CD3"/>
    <w:rsid w:val="00D17B99"/>
    <w:rsid w:val="00D214AF"/>
    <w:rsid w:val="00D239A7"/>
    <w:rsid w:val="00D23F47"/>
    <w:rsid w:val="00D242A6"/>
    <w:rsid w:val="00D33BCD"/>
    <w:rsid w:val="00D36331"/>
    <w:rsid w:val="00D36E71"/>
    <w:rsid w:val="00D37D87"/>
    <w:rsid w:val="00D40B33"/>
    <w:rsid w:val="00D42AAC"/>
    <w:rsid w:val="00D4318F"/>
    <w:rsid w:val="00D438BF"/>
    <w:rsid w:val="00D440F8"/>
    <w:rsid w:val="00D53040"/>
    <w:rsid w:val="00D546FF"/>
    <w:rsid w:val="00D54CAE"/>
    <w:rsid w:val="00D55AD5"/>
    <w:rsid w:val="00D576CA"/>
    <w:rsid w:val="00D61AF5"/>
    <w:rsid w:val="00D652B5"/>
    <w:rsid w:val="00D66155"/>
    <w:rsid w:val="00D67124"/>
    <w:rsid w:val="00D67B0B"/>
    <w:rsid w:val="00D708B0"/>
    <w:rsid w:val="00D74286"/>
    <w:rsid w:val="00D74324"/>
    <w:rsid w:val="00D74FCA"/>
    <w:rsid w:val="00D77B1D"/>
    <w:rsid w:val="00D8007E"/>
    <w:rsid w:val="00D8021F"/>
    <w:rsid w:val="00D80383"/>
    <w:rsid w:val="00D807ED"/>
    <w:rsid w:val="00D823C6"/>
    <w:rsid w:val="00D8327F"/>
    <w:rsid w:val="00D83542"/>
    <w:rsid w:val="00D86CA3"/>
    <w:rsid w:val="00D871CE"/>
    <w:rsid w:val="00D9196D"/>
    <w:rsid w:val="00D92982"/>
    <w:rsid w:val="00D94085"/>
    <w:rsid w:val="00DA305E"/>
    <w:rsid w:val="00DA5417"/>
    <w:rsid w:val="00DA56E8"/>
    <w:rsid w:val="00DA5F44"/>
    <w:rsid w:val="00DB096A"/>
    <w:rsid w:val="00DB0A9F"/>
    <w:rsid w:val="00DB294A"/>
    <w:rsid w:val="00DB377D"/>
    <w:rsid w:val="00DB5F53"/>
    <w:rsid w:val="00DC008A"/>
    <w:rsid w:val="00DC2D36"/>
    <w:rsid w:val="00DC2F7F"/>
    <w:rsid w:val="00DC311F"/>
    <w:rsid w:val="00DC5101"/>
    <w:rsid w:val="00DC53EF"/>
    <w:rsid w:val="00DC643D"/>
    <w:rsid w:val="00DD623C"/>
    <w:rsid w:val="00DE5608"/>
    <w:rsid w:val="00DE58D0"/>
    <w:rsid w:val="00DE654F"/>
    <w:rsid w:val="00DF0B6E"/>
    <w:rsid w:val="00DF15E0"/>
    <w:rsid w:val="00DF37A0"/>
    <w:rsid w:val="00DF5EC5"/>
    <w:rsid w:val="00DF67AA"/>
    <w:rsid w:val="00DF7189"/>
    <w:rsid w:val="00DF7CDB"/>
    <w:rsid w:val="00E02F4F"/>
    <w:rsid w:val="00E04EB3"/>
    <w:rsid w:val="00E110E7"/>
    <w:rsid w:val="00E11B20"/>
    <w:rsid w:val="00E17FA2"/>
    <w:rsid w:val="00E21E0E"/>
    <w:rsid w:val="00E22330"/>
    <w:rsid w:val="00E30B5A"/>
    <w:rsid w:val="00E3123D"/>
    <w:rsid w:val="00E31461"/>
    <w:rsid w:val="00E31D43"/>
    <w:rsid w:val="00E32608"/>
    <w:rsid w:val="00E34188"/>
    <w:rsid w:val="00E34B6E"/>
    <w:rsid w:val="00E35559"/>
    <w:rsid w:val="00E3723A"/>
    <w:rsid w:val="00E37860"/>
    <w:rsid w:val="00E40929"/>
    <w:rsid w:val="00E4450F"/>
    <w:rsid w:val="00E446F1"/>
    <w:rsid w:val="00E457BD"/>
    <w:rsid w:val="00E45ABE"/>
    <w:rsid w:val="00E45C59"/>
    <w:rsid w:val="00E46886"/>
    <w:rsid w:val="00E47AEF"/>
    <w:rsid w:val="00E53B75"/>
    <w:rsid w:val="00E54207"/>
    <w:rsid w:val="00E54E3B"/>
    <w:rsid w:val="00E57565"/>
    <w:rsid w:val="00E63838"/>
    <w:rsid w:val="00E64434"/>
    <w:rsid w:val="00E64D58"/>
    <w:rsid w:val="00E67C51"/>
    <w:rsid w:val="00E718C3"/>
    <w:rsid w:val="00E72EFC"/>
    <w:rsid w:val="00E73C18"/>
    <w:rsid w:val="00E75172"/>
    <w:rsid w:val="00E758EC"/>
    <w:rsid w:val="00E76DAE"/>
    <w:rsid w:val="00E8234C"/>
    <w:rsid w:val="00E83AA9"/>
    <w:rsid w:val="00E847BE"/>
    <w:rsid w:val="00E85928"/>
    <w:rsid w:val="00E87822"/>
    <w:rsid w:val="00E87DA2"/>
    <w:rsid w:val="00E90395"/>
    <w:rsid w:val="00E90E49"/>
    <w:rsid w:val="00E917F9"/>
    <w:rsid w:val="00E9291C"/>
    <w:rsid w:val="00E93EF7"/>
    <w:rsid w:val="00E93FFE"/>
    <w:rsid w:val="00E94F8A"/>
    <w:rsid w:val="00E975DA"/>
    <w:rsid w:val="00EA1472"/>
    <w:rsid w:val="00EA398D"/>
    <w:rsid w:val="00EA3A20"/>
    <w:rsid w:val="00EA5A9B"/>
    <w:rsid w:val="00EA7A41"/>
    <w:rsid w:val="00EB077B"/>
    <w:rsid w:val="00EB1D6A"/>
    <w:rsid w:val="00EB277E"/>
    <w:rsid w:val="00EB4653"/>
    <w:rsid w:val="00EB4EA2"/>
    <w:rsid w:val="00EB5291"/>
    <w:rsid w:val="00EB7315"/>
    <w:rsid w:val="00EB77E0"/>
    <w:rsid w:val="00EC24D5"/>
    <w:rsid w:val="00EC27C6"/>
    <w:rsid w:val="00EC4207"/>
    <w:rsid w:val="00EC4AC9"/>
    <w:rsid w:val="00EC54D3"/>
    <w:rsid w:val="00EC5653"/>
    <w:rsid w:val="00EC6329"/>
    <w:rsid w:val="00EC71CE"/>
    <w:rsid w:val="00ED1006"/>
    <w:rsid w:val="00ED34EE"/>
    <w:rsid w:val="00EE2DAB"/>
    <w:rsid w:val="00EE5352"/>
    <w:rsid w:val="00EE63F5"/>
    <w:rsid w:val="00EF179D"/>
    <w:rsid w:val="00EF18FE"/>
    <w:rsid w:val="00EF361F"/>
    <w:rsid w:val="00EF3652"/>
    <w:rsid w:val="00EF5787"/>
    <w:rsid w:val="00EF60D0"/>
    <w:rsid w:val="00F0528D"/>
    <w:rsid w:val="00F06C67"/>
    <w:rsid w:val="00F06DFD"/>
    <w:rsid w:val="00F071D1"/>
    <w:rsid w:val="00F07533"/>
    <w:rsid w:val="00F10629"/>
    <w:rsid w:val="00F10F35"/>
    <w:rsid w:val="00F15FA5"/>
    <w:rsid w:val="00F1632D"/>
    <w:rsid w:val="00F209B7"/>
    <w:rsid w:val="00F20B53"/>
    <w:rsid w:val="00F23208"/>
    <w:rsid w:val="00F2376F"/>
    <w:rsid w:val="00F24260"/>
    <w:rsid w:val="00F243D8"/>
    <w:rsid w:val="00F30828"/>
    <w:rsid w:val="00F313D6"/>
    <w:rsid w:val="00F3279D"/>
    <w:rsid w:val="00F35EF4"/>
    <w:rsid w:val="00F40F0C"/>
    <w:rsid w:val="00F43C2A"/>
    <w:rsid w:val="00F43D78"/>
    <w:rsid w:val="00F4766C"/>
    <w:rsid w:val="00F5060E"/>
    <w:rsid w:val="00F507D1"/>
    <w:rsid w:val="00F519CE"/>
    <w:rsid w:val="00F51ADA"/>
    <w:rsid w:val="00F52DFF"/>
    <w:rsid w:val="00F60203"/>
    <w:rsid w:val="00F607C5"/>
    <w:rsid w:val="00F60DEA"/>
    <w:rsid w:val="00F62B3C"/>
    <w:rsid w:val="00F6302A"/>
    <w:rsid w:val="00F63950"/>
    <w:rsid w:val="00F64C2B"/>
    <w:rsid w:val="00F651BE"/>
    <w:rsid w:val="00F65502"/>
    <w:rsid w:val="00F67F53"/>
    <w:rsid w:val="00F703BE"/>
    <w:rsid w:val="00F71E59"/>
    <w:rsid w:val="00F71F69"/>
    <w:rsid w:val="00F72B72"/>
    <w:rsid w:val="00F74BB9"/>
    <w:rsid w:val="00F75582"/>
    <w:rsid w:val="00F76EFA"/>
    <w:rsid w:val="00F804BE"/>
    <w:rsid w:val="00F817CE"/>
    <w:rsid w:val="00F83198"/>
    <w:rsid w:val="00F8456C"/>
    <w:rsid w:val="00F859D8"/>
    <w:rsid w:val="00F868F5"/>
    <w:rsid w:val="00F87358"/>
    <w:rsid w:val="00F9056A"/>
    <w:rsid w:val="00F90F8D"/>
    <w:rsid w:val="00F92782"/>
    <w:rsid w:val="00F93AA9"/>
    <w:rsid w:val="00F9451C"/>
    <w:rsid w:val="00F96385"/>
    <w:rsid w:val="00F96985"/>
    <w:rsid w:val="00F97838"/>
    <w:rsid w:val="00FA2BB3"/>
    <w:rsid w:val="00FA3645"/>
    <w:rsid w:val="00FB4C80"/>
    <w:rsid w:val="00FB6A6A"/>
    <w:rsid w:val="00FC0F11"/>
    <w:rsid w:val="00FC1365"/>
    <w:rsid w:val="00FC3B49"/>
    <w:rsid w:val="00FC44A8"/>
    <w:rsid w:val="00FC7429"/>
    <w:rsid w:val="00FD07F6"/>
    <w:rsid w:val="00FD0F37"/>
    <w:rsid w:val="00FD1084"/>
    <w:rsid w:val="00FD1EC8"/>
    <w:rsid w:val="00FD47ED"/>
    <w:rsid w:val="00FD6C1C"/>
    <w:rsid w:val="00FD6E28"/>
    <w:rsid w:val="00FD74DB"/>
    <w:rsid w:val="00FD7660"/>
    <w:rsid w:val="00FE0655"/>
    <w:rsid w:val="00FE13E0"/>
    <w:rsid w:val="00FE1CC7"/>
    <w:rsid w:val="00FE2365"/>
    <w:rsid w:val="00FE37D7"/>
    <w:rsid w:val="00FE4C7B"/>
    <w:rsid w:val="00FE7336"/>
    <w:rsid w:val="00FE787C"/>
    <w:rsid w:val="00FF33F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845281"/>
  <w15:chartTrackingRefBased/>
  <w15:docId w15:val="{CCB5E99D-817C-4ADD-A9A2-652F485B8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uiPriority w:val="99"/>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列出段落1,列,リスト,列表段落,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maintextChar">
    <w:name w:val="main text Char"/>
    <w:link w:val="maintext"/>
    <w:qFormat/>
    <w:rsid w:val="00E718C3"/>
    <w:rPr>
      <w:rFonts w:eastAsia="Malgun Gothic" w:cs="Batang"/>
      <w:lang w:eastAsia="ko-KR"/>
    </w:rPr>
  </w:style>
  <w:style w:type="paragraph" w:customStyle="1" w:styleId="maintext">
    <w:name w:val="main text"/>
    <w:basedOn w:val="Normal"/>
    <w:link w:val="maintextChar"/>
    <w:qFormat/>
    <w:rsid w:val="00E718C3"/>
    <w:pPr>
      <w:overflowPunct/>
      <w:autoSpaceDE/>
      <w:autoSpaceDN/>
      <w:adjustRightInd/>
      <w:spacing w:before="60" w:after="60" w:line="288" w:lineRule="auto"/>
      <w:ind w:firstLineChars="200" w:firstLine="200"/>
      <w:jc w:val="both"/>
      <w:textAlignment w:val="auto"/>
    </w:pPr>
    <w:rPr>
      <w:rFonts w:ascii="CG Times (WN)" w:eastAsia="Malgun Gothic" w:hAnsi="CG Times (WN)" w:cs="Batang"/>
      <w:lang w:eastAsia="ko-KR"/>
    </w:rPr>
  </w:style>
  <w:style w:type="character" w:styleId="UnresolvedMention">
    <w:name w:val="Unresolved Mention"/>
    <w:basedOn w:val="DefaultParagraphFont"/>
    <w:uiPriority w:val="99"/>
    <w:unhideWhenUsed/>
    <w:rsid w:val="00B70A7C"/>
    <w:rPr>
      <w:color w:val="605E5C"/>
      <w:shd w:val="clear" w:color="auto" w:fill="E1DFDD"/>
    </w:rPr>
  </w:style>
  <w:style w:type="character" w:styleId="Mention">
    <w:name w:val="Mention"/>
    <w:basedOn w:val="DefaultParagraphFont"/>
    <w:uiPriority w:val="99"/>
    <w:unhideWhenUsed/>
    <w:rsid w:val="00B70A7C"/>
    <w:rPr>
      <w:color w:val="2B579A"/>
      <w:shd w:val="clear" w:color="auto" w:fill="E1DFDD"/>
    </w:rPr>
  </w:style>
  <w:style w:type="paragraph" w:styleId="Revision">
    <w:name w:val="Revision"/>
    <w:hidden/>
    <w:uiPriority w:val="99"/>
    <w:semiHidden/>
    <w:rsid w:val="00FD6C1C"/>
    <w:rPr>
      <w:rFonts w:ascii="Times New Roman" w:hAnsi="Times New Roman"/>
      <w:lang w:eastAsia="ja-JP"/>
    </w:rPr>
  </w:style>
  <w:style w:type="paragraph" w:customStyle="1" w:styleId="Default">
    <w:name w:val="Default"/>
    <w:rsid w:val="00AB2C12"/>
    <w:pPr>
      <w:autoSpaceDE w:val="0"/>
      <w:autoSpaceDN w:val="0"/>
      <w:adjustRightInd w:val="0"/>
    </w:pPr>
    <w:rPr>
      <w:rFonts w:ascii="Times New Roman" w:hAnsi="Times New Roman"/>
      <w:color w:val="000000"/>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7F5AB8"/>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7F5AB8"/>
    <w:pPr>
      <w:overflowPunct/>
      <w:autoSpaceDE/>
      <w:autoSpaceDN/>
      <w:adjustRightInd/>
      <w:spacing w:line="336" w:lineRule="auto"/>
      <w:ind w:firstLineChars="200" w:firstLine="200"/>
      <w:jc w:val="both"/>
      <w:textAlignment w:val="auto"/>
    </w:pPr>
    <w:rPr>
      <w:rFonts w:ascii="Malgun Gothic" w:eastAsia="Malgun Gothic" w:hAnsi="Malgun Gothic" w:cs="Batang"/>
      <w:lang w:eastAsia="en-GB"/>
    </w:rPr>
  </w:style>
  <w:style w:type="paragraph" w:styleId="NormalWeb">
    <w:name w:val="Normal (Web)"/>
    <w:basedOn w:val="Normal"/>
    <w:uiPriority w:val="99"/>
    <w:unhideWhenUsed/>
    <w:rsid w:val="006F686E"/>
    <w:pPr>
      <w:overflowPunct/>
      <w:autoSpaceDE/>
      <w:autoSpaceDN/>
      <w:adjustRightInd/>
      <w:spacing w:before="100" w:beforeAutospacing="1" w:after="100" w:afterAutospacing="1"/>
      <w:textAlignment w:val="auto"/>
    </w:pPr>
    <w:rPr>
      <w:sz w:val="24"/>
      <w:szCs w:val="24"/>
      <w:lang w:val="sv-SE" w:eastAsia="zh-CN"/>
    </w:rPr>
  </w:style>
  <w:style w:type="paragraph" w:customStyle="1" w:styleId="paragraph">
    <w:name w:val="paragraph"/>
    <w:basedOn w:val="Normal"/>
    <w:rsid w:val="00820EEC"/>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normaltextrun">
    <w:name w:val="normaltextrun"/>
    <w:basedOn w:val="DefaultParagraphFont"/>
    <w:rsid w:val="00820EEC"/>
  </w:style>
  <w:style w:type="character" w:customStyle="1" w:styleId="eop">
    <w:name w:val="eop"/>
    <w:basedOn w:val="DefaultParagraphFont"/>
    <w:rsid w:val="00820EEC"/>
  </w:style>
  <w:style w:type="paragraph" w:customStyle="1" w:styleId="elementtoproof">
    <w:name w:val="elementtoproof"/>
    <w:basedOn w:val="Normal"/>
    <w:uiPriority w:val="99"/>
    <w:semiHidden/>
    <w:qFormat/>
    <w:rsid w:val="00421F46"/>
    <w:pPr>
      <w:overflowPunct/>
      <w:autoSpaceDE/>
      <w:autoSpaceDN/>
      <w:adjustRightInd/>
      <w:spacing w:after="0"/>
      <w:textAlignment w:val="auto"/>
    </w:pPr>
    <w:rPr>
      <w:rFonts w:eastAsia="Malgun Gothic"/>
      <w:sz w:val="24"/>
      <w:szCs w:val="24"/>
      <w:lang w:val="en-US" w:eastAsia="ko-KR"/>
    </w:rPr>
  </w:style>
  <w:style w:type="character" w:customStyle="1" w:styleId="contentpasted0">
    <w:name w:val="contentpasted0"/>
    <w:qFormat/>
    <w:rsid w:val="00421F46"/>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EC54D3"/>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548481">
      <w:bodyDiv w:val="1"/>
      <w:marLeft w:val="0"/>
      <w:marRight w:val="0"/>
      <w:marTop w:val="0"/>
      <w:marBottom w:val="0"/>
      <w:divBdr>
        <w:top w:val="none" w:sz="0" w:space="0" w:color="auto"/>
        <w:left w:val="none" w:sz="0" w:space="0" w:color="auto"/>
        <w:bottom w:val="none" w:sz="0" w:space="0" w:color="auto"/>
        <w:right w:val="none" w:sz="0" w:space="0" w:color="auto"/>
      </w:divBdr>
      <w:divsChild>
        <w:div w:id="1405955653">
          <w:marLeft w:val="0"/>
          <w:marRight w:val="0"/>
          <w:marTop w:val="0"/>
          <w:marBottom w:val="0"/>
          <w:divBdr>
            <w:top w:val="none" w:sz="0" w:space="0" w:color="auto"/>
            <w:left w:val="none" w:sz="0" w:space="0" w:color="auto"/>
            <w:bottom w:val="none" w:sz="0" w:space="0" w:color="auto"/>
            <w:right w:val="none" w:sz="0" w:space="0" w:color="auto"/>
          </w:divBdr>
        </w:div>
        <w:div w:id="1504276884">
          <w:marLeft w:val="0"/>
          <w:marRight w:val="0"/>
          <w:marTop w:val="0"/>
          <w:marBottom w:val="0"/>
          <w:divBdr>
            <w:top w:val="none" w:sz="0" w:space="0" w:color="auto"/>
            <w:left w:val="none" w:sz="0" w:space="0" w:color="auto"/>
            <w:bottom w:val="none" w:sz="0" w:space="0" w:color="auto"/>
            <w:right w:val="none" w:sz="0" w:space="0" w:color="auto"/>
          </w:divBdr>
          <w:divsChild>
            <w:div w:id="1314607239">
              <w:marLeft w:val="0"/>
              <w:marRight w:val="0"/>
              <w:marTop w:val="0"/>
              <w:marBottom w:val="0"/>
              <w:divBdr>
                <w:top w:val="none" w:sz="0" w:space="0" w:color="auto"/>
                <w:left w:val="none" w:sz="0" w:space="0" w:color="auto"/>
                <w:bottom w:val="none" w:sz="0" w:space="0" w:color="auto"/>
                <w:right w:val="none" w:sz="0" w:space="0" w:color="auto"/>
              </w:divBdr>
            </w:div>
          </w:divsChild>
        </w:div>
        <w:div w:id="1826629727">
          <w:marLeft w:val="0"/>
          <w:marRight w:val="0"/>
          <w:marTop w:val="0"/>
          <w:marBottom w:val="0"/>
          <w:divBdr>
            <w:top w:val="none" w:sz="0" w:space="0" w:color="auto"/>
            <w:left w:val="none" w:sz="0" w:space="0" w:color="auto"/>
            <w:bottom w:val="none" w:sz="0" w:space="0" w:color="auto"/>
            <w:right w:val="none" w:sz="0" w:space="0" w:color="auto"/>
          </w:divBdr>
          <w:divsChild>
            <w:div w:id="394209025">
              <w:marLeft w:val="-75"/>
              <w:marRight w:val="0"/>
              <w:marTop w:val="30"/>
              <w:marBottom w:val="30"/>
              <w:divBdr>
                <w:top w:val="none" w:sz="0" w:space="0" w:color="auto"/>
                <w:left w:val="none" w:sz="0" w:space="0" w:color="auto"/>
                <w:bottom w:val="none" w:sz="0" w:space="0" w:color="auto"/>
                <w:right w:val="none" w:sz="0" w:space="0" w:color="auto"/>
              </w:divBdr>
              <w:divsChild>
                <w:div w:id="105581009">
                  <w:marLeft w:val="0"/>
                  <w:marRight w:val="0"/>
                  <w:marTop w:val="0"/>
                  <w:marBottom w:val="0"/>
                  <w:divBdr>
                    <w:top w:val="none" w:sz="0" w:space="0" w:color="auto"/>
                    <w:left w:val="none" w:sz="0" w:space="0" w:color="auto"/>
                    <w:bottom w:val="none" w:sz="0" w:space="0" w:color="auto"/>
                    <w:right w:val="none" w:sz="0" w:space="0" w:color="auto"/>
                  </w:divBdr>
                  <w:divsChild>
                    <w:div w:id="799807123">
                      <w:marLeft w:val="0"/>
                      <w:marRight w:val="0"/>
                      <w:marTop w:val="0"/>
                      <w:marBottom w:val="0"/>
                      <w:divBdr>
                        <w:top w:val="none" w:sz="0" w:space="0" w:color="auto"/>
                        <w:left w:val="none" w:sz="0" w:space="0" w:color="auto"/>
                        <w:bottom w:val="none" w:sz="0" w:space="0" w:color="auto"/>
                        <w:right w:val="none" w:sz="0" w:space="0" w:color="auto"/>
                      </w:divBdr>
                    </w:div>
                  </w:divsChild>
                </w:div>
                <w:div w:id="107045963">
                  <w:marLeft w:val="0"/>
                  <w:marRight w:val="0"/>
                  <w:marTop w:val="0"/>
                  <w:marBottom w:val="0"/>
                  <w:divBdr>
                    <w:top w:val="none" w:sz="0" w:space="0" w:color="auto"/>
                    <w:left w:val="none" w:sz="0" w:space="0" w:color="auto"/>
                    <w:bottom w:val="none" w:sz="0" w:space="0" w:color="auto"/>
                    <w:right w:val="none" w:sz="0" w:space="0" w:color="auto"/>
                  </w:divBdr>
                  <w:divsChild>
                    <w:div w:id="719323163">
                      <w:marLeft w:val="0"/>
                      <w:marRight w:val="0"/>
                      <w:marTop w:val="0"/>
                      <w:marBottom w:val="0"/>
                      <w:divBdr>
                        <w:top w:val="none" w:sz="0" w:space="0" w:color="auto"/>
                        <w:left w:val="none" w:sz="0" w:space="0" w:color="auto"/>
                        <w:bottom w:val="none" w:sz="0" w:space="0" w:color="auto"/>
                        <w:right w:val="none" w:sz="0" w:space="0" w:color="auto"/>
                      </w:divBdr>
                    </w:div>
                  </w:divsChild>
                </w:div>
                <w:div w:id="139345711">
                  <w:marLeft w:val="0"/>
                  <w:marRight w:val="0"/>
                  <w:marTop w:val="0"/>
                  <w:marBottom w:val="0"/>
                  <w:divBdr>
                    <w:top w:val="none" w:sz="0" w:space="0" w:color="auto"/>
                    <w:left w:val="none" w:sz="0" w:space="0" w:color="auto"/>
                    <w:bottom w:val="none" w:sz="0" w:space="0" w:color="auto"/>
                    <w:right w:val="none" w:sz="0" w:space="0" w:color="auto"/>
                  </w:divBdr>
                  <w:divsChild>
                    <w:div w:id="1952786125">
                      <w:marLeft w:val="0"/>
                      <w:marRight w:val="0"/>
                      <w:marTop w:val="0"/>
                      <w:marBottom w:val="0"/>
                      <w:divBdr>
                        <w:top w:val="none" w:sz="0" w:space="0" w:color="auto"/>
                        <w:left w:val="none" w:sz="0" w:space="0" w:color="auto"/>
                        <w:bottom w:val="none" w:sz="0" w:space="0" w:color="auto"/>
                        <w:right w:val="none" w:sz="0" w:space="0" w:color="auto"/>
                      </w:divBdr>
                    </w:div>
                  </w:divsChild>
                </w:div>
                <w:div w:id="142233350">
                  <w:marLeft w:val="0"/>
                  <w:marRight w:val="0"/>
                  <w:marTop w:val="0"/>
                  <w:marBottom w:val="0"/>
                  <w:divBdr>
                    <w:top w:val="none" w:sz="0" w:space="0" w:color="auto"/>
                    <w:left w:val="none" w:sz="0" w:space="0" w:color="auto"/>
                    <w:bottom w:val="none" w:sz="0" w:space="0" w:color="auto"/>
                    <w:right w:val="none" w:sz="0" w:space="0" w:color="auto"/>
                  </w:divBdr>
                  <w:divsChild>
                    <w:div w:id="821386246">
                      <w:marLeft w:val="0"/>
                      <w:marRight w:val="0"/>
                      <w:marTop w:val="0"/>
                      <w:marBottom w:val="0"/>
                      <w:divBdr>
                        <w:top w:val="none" w:sz="0" w:space="0" w:color="auto"/>
                        <w:left w:val="none" w:sz="0" w:space="0" w:color="auto"/>
                        <w:bottom w:val="none" w:sz="0" w:space="0" w:color="auto"/>
                        <w:right w:val="none" w:sz="0" w:space="0" w:color="auto"/>
                      </w:divBdr>
                    </w:div>
                  </w:divsChild>
                </w:div>
                <w:div w:id="230623757">
                  <w:marLeft w:val="0"/>
                  <w:marRight w:val="0"/>
                  <w:marTop w:val="0"/>
                  <w:marBottom w:val="0"/>
                  <w:divBdr>
                    <w:top w:val="none" w:sz="0" w:space="0" w:color="auto"/>
                    <w:left w:val="none" w:sz="0" w:space="0" w:color="auto"/>
                    <w:bottom w:val="none" w:sz="0" w:space="0" w:color="auto"/>
                    <w:right w:val="none" w:sz="0" w:space="0" w:color="auto"/>
                  </w:divBdr>
                  <w:divsChild>
                    <w:div w:id="1635745504">
                      <w:marLeft w:val="0"/>
                      <w:marRight w:val="0"/>
                      <w:marTop w:val="0"/>
                      <w:marBottom w:val="0"/>
                      <w:divBdr>
                        <w:top w:val="none" w:sz="0" w:space="0" w:color="auto"/>
                        <w:left w:val="none" w:sz="0" w:space="0" w:color="auto"/>
                        <w:bottom w:val="none" w:sz="0" w:space="0" w:color="auto"/>
                        <w:right w:val="none" w:sz="0" w:space="0" w:color="auto"/>
                      </w:divBdr>
                    </w:div>
                  </w:divsChild>
                </w:div>
                <w:div w:id="236789216">
                  <w:marLeft w:val="0"/>
                  <w:marRight w:val="0"/>
                  <w:marTop w:val="0"/>
                  <w:marBottom w:val="0"/>
                  <w:divBdr>
                    <w:top w:val="none" w:sz="0" w:space="0" w:color="auto"/>
                    <w:left w:val="none" w:sz="0" w:space="0" w:color="auto"/>
                    <w:bottom w:val="none" w:sz="0" w:space="0" w:color="auto"/>
                    <w:right w:val="none" w:sz="0" w:space="0" w:color="auto"/>
                  </w:divBdr>
                  <w:divsChild>
                    <w:div w:id="2048144778">
                      <w:marLeft w:val="0"/>
                      <w:marRight w:val="0"/>
                      <w:marTop w:val="0"/>
                      <w:marBottom w:val="0"/>
                      <w:divBdr>
                        <w:top w:val="none" w:sz="0" w:space="0" w:color="auto"/>
                        <w:left w:val="none" w:sz="0" w:space="0" w:color="auto"/>
                        <w:bottom w:val="none" w:sz="0" w:space="0" w:color="auto"/>
                        <w:right w:val="none" w:sz="0" w:space="0" w:color="auto"/>
                      </w:divBdr>
                    </w:div>
                  </w:divsChild>
                </w:div>
                <w:div w:id="260842680">
                  <w:marLeft w:val="0"/>
                  <w:marRight w:val="0"/>
                  <w:marTop w:val="0"/>
                  <w:marBottom w:val="0"/>
                  <w:divBdr>
                    <w:top w:val="none" w:sz="0" w:space="0" w:color="auto"/>
                    <w:left w:val="none" w:sz="0" w:space="0" w:color="auto"/>
                    <w:bottom w:val="none" w:sz="0" w:space="0" w:color="auto"/>
                    <w:right w:val="none" w:sz="0" w:space="0" w:color="auto"/>
                  </w:divBdr>
                  <w:divsChild>
                    <w:div w:id="397172369">
                      <w:marLeft w:val="0"/>
                      <w:marRight w:val="0"/>
                      <w:marTop w:val="0"/>
                      <w:marBottom w:val="0"/>
                      <w:divBdr>
                        <w:top w:val="none" w:sz="0" w:space="0" w:color="auto"/>
                        <w:left w:val="none" w:sz="0" w:space="0" w:color="auto"/>
                        <w:bottom w:val="none" w:sz="0" w:space="0" w:color="auto"/>
                        <w:right w:val="none" w:sz="0" w:space="0" w:color="auto"/>
                      </w:divBdr>
                    </w:div>
                  </w:divsChild>
                </w:div>
                <w:div w:id="280307688">
                  <w:marLeft w:val="0"/>
                  <w:marRight w:val="0"/>
                  <w:marTop w:val="0"/>
                  <w:marBottom w:val="0"/>
                  <w:divBdr>
                    <w:top w:val="none" w:sz="0" w:space="0" w:color="auto"/>
                    <w:left w:val="none" w:sz="0" w:space="0" w:color="auto"/>
                    <w:bottom w:val="none" w:sz="0" w:space="0" w:color="auto"/>
                    <w:right w:val="none" w:sz="0" w:space="0" w:color="auto"/>
                  </w:divBdr>
                  <w:divsChild>
                    <w:div w:id="2056805072">
                      <w:marLeft w:val="0"/>
                      <w:marRight w:val="0"/>
                      <w:marTop w:val="0"/>
                      <w:marBottom w:val="0"/>
                      <w:divBdr>
                        <w:top w:val="none" w:sz="0" w:space="0" w:color="auto"/>
                        <w:left w:val="none" w:sz="0" w:space="0" w:color="auto"/>
                        <w:bottom w:val="none" w:sz="0" w:space="0" w:color="auto"/>
                        <w:right w:val="none" w:sz="0" w:space="0" w:color="auto"/>
                      </w:divBdr>
                    </w:div>
                  </w:divsChild>
                </w:div>
                <w:div w:id="299114330">
                  <w:marLeft w:val="0"/>
                  <w:marRight w:val="0"/>
                  <w:marTop w:val="0"/>
                  <w:marBottom w:val="0"/>
                  <w:divBdr>
                    <w:top w:val="none" w:sz="0" w:space="0" w:color="auto"/>
                    <w:left w:val="none" w:sz="0" w:space="0" w:color="auto"/>
                    <w:bottom w:val="none" w:sz="0" w:space="0" w:color="auto"/>
                    <w:right w:val="none" w:sz="0" w:space="0" w:color="auto"/>
                  </w:divBdr>
                  <w:divsChild>
                    <w:div w:id="320542629">
                      <w:marLeft w:val="0"/>
                      <w:marRight w:val="0"/>
                      <w:marTop w:val="0"/>
                      <w:marBottom w:val="0"/>
                      <w:divBdr>
                        <w:top w:val="none" w:sz="0" w:space="0" w:color="auto"/>
                        <w:left w:val="none" w:sz="0" w:space="0" w:color="auto"/>
                        <w:bottom w:val="none" w:sz="0" w:space="0" w:color="auto"/>
                        <w:right w:val="none" w:sz="0" w:space="0" w:color="auto"/>
                      </w:divBdr>
                    </w:div>
                  </w:divsChild>
                </w:div>
                <w:div w:id="309553534">
                  <w:marLeft w:val="0"/>
                  <w:marRight w:val="0"/>
                  <w:marTop w:val="0"/>
                  <w:marBottom w:val="0"/>
                  <w:divBdr>
                    <w:top w:val="none" w:sz="0" w:space="0" w:color="auto"/>
                    <w:left w:val="none" w:sz="0" w:space="0" w:color="auto"/>
                    <w:bottom w:val="none" w:sz="0" w:space="0" w:color="auto"/>
                    <w:right w:val="none" w:sz="0" w:space="0" w:color="auto"/>
                  </w:divBdr>
                  <w:divsChild>
                    <w:div w:id="477262146">
                      <w:marLeft w:val="0"/>
                      <w:marRight w:val="0"/>
                      <w:marTop w:val="0"/>
                      <w:marBottom w:val="0"/>
                      <w:divBdr>
                        <w:top w:val="none" w:sz="0" w:space="0" w:color="auto"/>
                        <w:left w:val="none" w:sz="0" w:space="0" w:color="auto"/>
                        <w:bottom w:val="none" w:sz="0" w:space="0" w:color="auto"/>
                        <w:right w:val="none" w:sz="0" w:space="0" w:color="auto"/>
                      </w:divBdr>
                    </w:div>
                  </w:divsChild>
                </w:div>
                <w:div w:id="341472954">
                  <w:marLeft w:val="0"/>
                  <w:marRight w:val="0"/>
                  <w:marTop w:val="0"/>
                  <w:marBottom w:val="0"/>
                  <w:divBdr>
                    <w:top w:val="none" w:sz="0" w:space="0" w:color="auto"/>
                    <w:left w:val="none" w:sz="0" w:space="0" w:color="auto"/>
                    <w:bottom w:val="none" w:sz="0" w:space="0" w:color="auto"/>
                    <w:right w:val="none" w:sz="0" w:space="0" w:color="auto"/>
                  </w:divBdr>
                  <w:divsChild>
                    <w:div w:id="1832941747">
                      <w:marLeft w:val="0"/>
                      <w:marRight w:val="0"/>
                      <w:marTop w:val="0"/>
                      <w:marBottom w:val="0"/>
                      <w:divBdr>
                        <w:top w:val="none" w:sz="0" w:space="0" w:color="auto"/>
                        <w:left w:val="none" w:sz="0" w:space="0" w:color="auto"/>
                        <w:bottom w:val="none" w:sz="0" w:space="0" w:color="auto"/>
                        <w:right w:val="none" w:sz="0" w:space="0" w:color="auto"/>
                      </w:divBdr>
                    </w:div>
                  </w:divsChild>
                </w:div>
                <w:div w:id="365638690">
                  <w:marLeft w:val="0"/>
                  <w:marRight w:val="0"/>
                  <w:marTop w:val="0"/>
                  <w:marBottom w:val="0"/>
                  <w:divBdr>
                    <w:top w:val="none" w:sz="0" w:space="0" w:color="auto"/>
                    <w:left w:val="none" w:sz="0" w:space="0" w:color="auto"/>
                    <w:bottom w:val="none" w:sz="0" w:space="0" w:color="auto"/>
                    <w:right w:val="none" w:sz="0" w:space="0" w:color="auto"/>
                  </w:divBdr>
                  <w:divsChild>
                    <w:div w:id="954794915">
                      <w:marLeft w:val="0"/>
                      <w:marRight w:val="0"/>
                      <w:marTop w:val="0"/>
                      <w:marBottom w:val="0"/>
                      <w:divBdr>
                        <w:top w:val="none" w:sz="0" w:space="0" w:color="auto"/>
                        <w:left w:val="none" w:sz="0" w:space="0" w:color="auto"/>
                        <w:bottom w:val="none" w:sz="0" w:space="0" w:color="auto"/>
                        <w:right w:val="none" w:sz="0" w:space="0" w:color="auto"/>
                      </w:divBdr>
                    </w:div>
                  </w:divsChild>
                </w:div>
                <w:div w:id="379063650">
                  <w:marLeft w:val="0"/>
                  <w:marRight w:val="0"/>
                  <w:marTop w:val="0"/>
                  <w:marBottom w:val="0"/>
                  <w:divBdr>
                    <w:top w:val="none" w:sz="0" w:space="0" w:color="auto"/>
                    <w:left w:val="none" w:sz="0" w:space="0" w:color="auto"/>
                    <w:bottom w:val="none" w:sz="0" w:space="0" w:color="auto"/>
                    <w:right w:val="none" w:sz="0" w:space="0" w:color="auto"/>
                  </w:divBdr>
                  <w:divsChild>
                    <w:div w:id="720519396">
                      <w:marLeft w:val="0"/>
                      <w:marRight w:val="0"/>
                      <w:marTop w:val="0"/>
                      <w:marBottom w:val="0"/>
                      <w:divBdr>
                        <w:top w:val="none" w:sz="0" w:space="0" w:color="auto"/>
                        <w:left w:val="none" w:sz="0" w:space="0" w:color="auto"/>
                        <w:bottom w:val="none" w:sz="0" w:space="0" w:color="auto"/>
                        <w:right w:val="none" w:sz="0" w:space="0" w:color="auto"/>
                      </w:divBdr>
                    </w:div>
                  </w:divsChild>
                </w:div>
                <w:div w:id="392125289">
                  <w:marLeft w:val="0"/>
                  <w:marRight w:val="0"/>
                  <w:marTop w:val="0"/>
                  <w:marBottom w:val="0"/>
                  <w:divBdr>
                    <w:top w:val="none" w:sz="0" w:space="0" w:color="auto"/>
                    <w:left w:val="none" w:sz="0" w:space="0" w:color="auto"/>
                    <w:bottom w:val="none" w:sz="0" w:space="0" w:color="auto"/>
                    <w:right w:val="none" w:sz="0" w:space="0" w:color="auto"/>
                  </w:divBdr>
                  <w:divsChild>
                    <w:div w:id="851726245">
                      <w:marLeft w:val="0"/>
                      <w:marRight w:val="0"/>
                      <w:marTop w:val="0"/>
                      <w:marBottom w:val="0"/>
                      <w:divBdr>
                        <w:top w:val="none" w:sz="0" w:space="0" w:color="auto"/>
                        <w:left w:val="none" w:sz="0" w:space="0" w:color="auto"/>
                        <w:bottom w:val="none" w:sz="0" w:space="0" w:color="auto"/>
                        <w:right w:val="none" w:sz="0" w:space="0" w:color="auto"/>
                      </w:divBdr>
                    </w:div>
                  </w:divsChild>
                </w:div>
                <w:div w:id="427892779">
                  <w:marLeft w:val="0"/>
                  <w:marRight w:val="0"/>
                  <w:marTop w:val="0"/>
                  <w:marBottom w:val="0"/>
                  <w:divBdr>
                    <w:top w:val="none" w:sz="0" w:space="0" w:color="auto"/>
                    <w:left w:val="none" w:sz="0" w:space="0" w:color="auto"/>
                    <w:bottom w:val="none" w:sz="0" w:space="0" w:color="auto"/>
                    <w:right w:val="none" w:sz="0" w:space="0" w:color="auto"/>
                  </w:divBdr>
                  <w:divsChild>
                    <w:div w:id="1060203481">
                      <w:marLeft w:val="0"/>
                      <w:marRight w:val="0"/>
                      <w:marTop w:val="0"/>
                      <w:marBottom w:val="0"/>
                      <w:divBdr>
                        <w:top w:val="none" w:sz="0" w:space="0" w:color="auto"/>
                        <w:left w:val="none" w:sz="0" w:space="0" w:color="auto"/>
                        <w:bottom w:val="none" w:sz="0" w:space="0" w:color="auto"/>
                        <w:right w:val="none" w:sz="0" w:space="0" w:color="auto"/>
                      </w:divBdr>
                    </w:div>
                  </w:divsChild>
                </w:div>
                <w:div w:id="676006303">
                  <w:marLeft w:val="0"/>
                  <w:marRight w:val="0"/>
                  <w:marTop w:val="0"/>
                  <w:marBottom w:val="0"/>
                  <w:divBdr>
                    <w:top w:val="none" w:sz="0" w:space="0" w:color="auto"/>
                    <w:left w:val="none" w:sz="0" w:space="0" w:color="auto"/>
                    <w:bottom w:val="none" w:sz="0" w:space="0" w:color="auto"/>
                    <w:right w:val="none" w:sz="0" w:space="0" w:color="auto"/>
                  </w:divBdr>
                  <w:divsChild>
                    <w:div w:id="832524283">
                      <w:marLeft w:val="0"/>
                      <w:marRight w:val="0"/>
                      <w:marTop w:val="0"/>
                      <w:marBottom w:val="0"/>
                      <w:divBdr>
                        <w:top w:val="none" w:sz="0" w:space="0" w:color="auto"/>
                        <w:left w:val="none" w:sz="0" w:space="0" w:color="auto"/>
                        <w:bottom w:val="none" w:sz="0" w:space="0" w:color="auto"/>
                        <w:right w:val="none" w:sz="0" w:space="0" w:color="auto"/>
                      </w:divBdr>
                    </w:div>
                    <w:div w:id="1710107827">
                      <w:marLeft w:val="0"/>
                      <w:marRight w:val="0"/>
                      <w:marTop w:val="0"/>
                      <w:marBottom w:val="0"/>
                      <w:divBdr>
                        <w:top w:val="none" w:sz="0" w:space="0" w:color="auto"/>
                        <w:left w:val="none" w:sz="0" w:space="0" w:color="auto"/>
                        <w:bottom w:val="none" w:sz="0" w:space="0" w:color="auto"/>
                        <w:right w:val="none" w:sz="0" w:space="0" w:color="auto"/>
                      </w:divBdr>
                    </w:div>
                    <w:div w:id="1828933962">
                      <w:marLeft w:val="0"/>
                      <w:marRight w:val="0"/>
                      <w:marTop w:val="0"/>
                      <w:marBottom w:val="0"/>
                      <w:divBdr>
                        <w:top w:val="none" w:sz="0" w:space="0" w:color="auto"/>
                        <w:left w:val="none" w:sz="0" w:space="0" w:color="auto"/>
                        <w:bottom w:val="none" w:sz="0" w:space="0" w:color="auto"/>
                        <w:right w:val="none" w:sz="0" w:space="0" w:color="auto"/>
                      </w:divBdr>
                    </w:div>
                  </w:divsChild>
                </w:div>
                <w:div w:id="715587667">
                  <w:marLeft w:val="0"/>
                  <w:marRight w:val="0"/>
                  <w:marTop w:val="0"/>
                  <w:marBottom w:val="0"/>
                  <w:divBdr>
                    <w:top w:val="none" w:sz="0" w:space="0" w:color="auto"/>
                    <w:left w:val="none" w:sz="0" w:space="0" w:color="auto"/>
                    <w:bottom w:val="none" w:sz="0" w:space="0" w:color="auto"/>
                    <w:right w:val="none" w:sz="0" w:space="0" w:color="auto"/>
                  </w:divBdr>
                  <w:divsChild>
                    <w:div w:id="1933585472">
                      <w:marLeft w:val="0"/>
                      <w:marRight w:val="0"/>
                      <w:marTop w:val="0"/>
                      <w:marBottom w:val="0"/>
                      <w:divBdr>
                        <w:top w:val="none" w:sz="0" w:space="0" w:color="auto"/>
                        <w:left w:val="none" w:sz="0" w:space="0" w:color="auto"/>
                        <w:bottom w:val="none" w:sz="0" w:space="0" w:color="auto"/>
                        <w:right w:val="none" w:sz="0" w:space="0" w:color="auto"/>
                      </w:divBdr>
                    </w:div>
                  </w:divsChild>
                </w:div>
                <w:div w:id="728767850">
                  <w:marLeft w:val="0"/>
                  <w:marRight w:val="0"/>
                  <w:marTop w:val="0"/>
                  <w:marBottom w:val="0"/>
                  <w:divBdr>
                    <w:top w:val="none" w:sz="0" w:space="0" w:color="auto"/>
                    <w:left w:val="none" w:sz="0" w:space="0" w:color="auto"/>
                    <w:bottom w:val="none" w:sz="0" w:space="0" w:color="auto"/>
                    <w:right w:val="none" w:sz="0" w:space="0" w:color="auto"/>
                  </w:divBdr>
                  <w:divsChild>
                    <w:div w:id="132985700">
                      <w:marLeft w:val="0"/>
                      <w:marRight w:val="0"/>
                      <w:marTop w:val="0"/>
                      <w:marBottom w:val="0"/>
                      <w:divBdr>
                        <w:top w:val="none" w:sz="0" w:space="0" w:color="auto"/>
                        <w:left w:val="none" w:sz="0" w:space="0" w:color="auto"/>
                        <w:bottom w:val="none" w:sz="0" w:space="0" w:color="auto"/>
                        <w:right w:val="none" w:sz="0" w:space="0" w:color="auto"/>
                      </w:divBdr>
                    </w:div>
                  </w:divsChild>
                </w:div>
                <w:div w:id="752506254">
                  <w:marLeft w:val="0"/>
                  <w:marRight w:val="0"/>
                  <w:marTop w:val="0"/>
                  <w:marBottom w:val="0"/>
                  <w:divBdr>
                    <w:top w:val="none" w:sz="0" w:space="0" w:color="auto"/>
                    <w:left w:val="none" w:sz="0" w:space="0" w:color="auto"/>
                    <w:bottom w:val="none" w:sz="0" w:space="0" w:color="auto"/>
                    <w:right w:val="none" w:sz="0" w:space="0" w:color="auto"/>
                  </w:divBdr>
                  <w:divsChild>
                    <w:div w:id="1150365380">
                      <w:marLeft w:val="0"/>
                      <w:marRight w:val="0"/>
                      <w:marTop w:val="0"/>
                      <w:marBottom w:val="0"/>
                      <w:divBdr>
                        <w:top w:val="none" w:sz="0" w:space="0" w:color="auto"/>
                        <w:left w:val="none" w:sz="0" w:space="0" w:color="auto"/>
                        <w:bottom w:val="none" w:sz="0" w:space="0" w:color="auto"/>
                        <w:right w:val="none" w:sz="0" w:space="0" w:color="auto"/>
                      </w:divBdr>
                    </w:div>
                  </w:divsChild>
                </w:div>
                <w:div w:id="765004008">
                  <w:marLeft w:val="0"/>
                  <w:marRight w:val="0"/>
                  <w:marTop w:val="0"/>
                  <w:marBottom w:val="0"/>
                  <w:divBdr>
                    <w:top w:val="none" w:sz="0" w:space="0" w:color="auto"/>
                    <w:left w:val="none" w:sz="0" w:space="0" w:color="auto"/>
                    <w:bottom w:val="none" w:sz="0" w:space="0" w:color="auto"/>
                    <w:right w:val="none" w:sz="0" w:space="0" w:color="auto"/>
                  </w:divBdr>
                  <w:divsChild>
                    <w:div w:id="178664506">
                      <w:marLeft w:val="0"/>
                      <w:marRight w:val="0"/>
                      <w:marTop w:val="0"/>
                      <w:marBottom w:val="0"/>
                      <w:divBdr>
                        <w:top w:val="none" w:sz="0" w:space="0" w:color="auto"/>
                        <w:left w:val="none" w:sz="0" w:space="0" w:color="auto"/>
                        <w:bottom w:val="none" w:sz="0" w:space="0" w:color="auto"/>
                        <w:right w:val="none" w:sz="0" w:space="0" w:color="auto"/>
                      </w:divBdr>
                    </w:div>
                  </w:divsChild>
                </w:div>
                <w:div w:id="807404896">
                  <w:marLeft w:val="0"/>
                  <w:marRight w:val="0"/>
                  <w:marTop w:val="0"/>
                  <w:marBottom w:val="0"/>
                  <w:divBdr>
                    <w:top w:val="none" w:sz="0" w:space="0" w:color="auto"/>
                    <w:left w:val="none" w:sz="0" w:space="0" w:color="auto"/>
                    <w:bottom w:val="none" w:sz="0" w:space="0" w:color="auto"/>
                    <w:right w:val="none" w:sz="0" w:space="0" w:color="auto"/>
                  </w:divBdr>
                  <w:divsChild>
                    <w:div w:id="896744503">
                      <w:marLeft w:val="0"/>
                      <w:marRight w:val="0"/>
                      <w:marTop w:val="0"/>
                      <w:marBottom w:val="0"/>
                      <w:divBdr>
                        <w:top w:val="none" w:sz="0" w:space="0" w:color="auto"/>
                        <w:left w:val="none" w:sz="0" w:space="0" w:color="auto"/>
                        <w:bottom w:val="none" w:sz="0" w:space="0" w:color="auto"/>
                        <w:right w:val="none" w:sz="0" w:space="0" w:color="auto"/>
                      </w:divBdr>
                    </w:div>
                  </w:divsChild>
                </w:div>
                <w:div w:id="810245074">
                  <w:marLeft w:val="0"/>
                  <w:marRight w:val="0"/>
                  <w:marTop w:val="0"/>
                  <w:marBottom w:val="0"/>
                  <w:divBdr>
                    <w:top w:val="none" w:sz="0" w:space="0" w:color="auto"/>
                    <w:left w:val="none" w:sz="0" w:space="0" w:color="auto"/>
                    <w:bottom w:val="none" w:sz="0" w:space="0" w:color="auto"/>
                    <w:right w:val="none" w:sz="0" w:space="0" w:color="auto"/>
                  </w:divBdr>
                  <w:divsChild>
                    <w:div w:id="1595630056">
                      <w:marLeft w:val="0"/>
                      <w:marRight w:val="0"/>
                      <w:marTop w:val="0"/>
                      <w:marBottom w:val="0"/>
                      <w:divBdr>
                        <w:top w:val="none" w:sz="0" w:space="0" w:color="auto"/>
                        <w:left w:val="none" w:sz="0" w:space="0" w:color="auto"/>
                        <w:bottom w:val="none" w:sz="0" w:space="0" w:color="auto"/>
                        <w:right w:val="none" w:sz="0" w:space="0" w:color="auto"/>
                      </w:divBdr>
                    </w:div>
                  </w:divsChild>
                </w:div>
                <w:div w:id="836461913">
                  <w:marLeft w:val="0"/>
                  <w:marRight w:val="0"/>
                  <w:marTop w:val="0"/>
                  <w:marBottom w:val="0"/>
                  <w:divBdr>
                    <w:top w:val="none" w:sz="0" w:space="0" w:color="auto"/>
                    <w:left w:val="none" w:sz="0" w:space="0" w:color="auto"/>
                    <w:bottom w:val="none" w:sz="0" w:space="0" w:color="auto"/>
                    <w:right w:val="none" w:sz="0" w:space="0" w:color="auto"/>
                  </w:divBdr>
                  <w:divsChild>
                    <w:div w:id="92942968">
                      <w:marLeft w:val="0"/>
                      <w:marRight w:val="0"/>
                      <w:marTop w:val="0"/>
                      <w:marBottom w:val="0"/>
                      <w:divBdr>
                        <w:top w:val="none" w:sz="0" w:space="0" w:color="auto"/>
                        <w:left w:val="none" w:sz="0" w:space="0" w:color="auto"/>
                        <w:bottom w:val="none" w:sz="0" w:space="0" w:color="auto"/>
                        <w:right w:val="none" w:sz="0" w:space="0" w:color="auto"/>
                      </w:divBdr>
                    </w:div>
                  </w:divsChild>
                </w:div>
                <w:div w:id="876238210">
                  <w:marLeft w:val="0"/>
                  <w:marRight w:val="0"/>
                  <w:marTop w:val="0"/>
                  <w:marBottom w:val="0"/>
                  <w:divBdr>
                    <w:top w:val="none" w:sz="0" w:space="0" w:color="auto"/>
                    <w:left w:val="none" w:sz="0" w:space="0" w:color="auto"/>
                    <w:bottom w:val="none" w:sz="0" w:space="0" w:color="auto"/>
                    <w:right w:val="none" w:sz="0" w:space="0" w:color="auto"/>
                  </w:divBdr>
                  <w:divsChild>
                    <w:div w:id="2077893526">
                      <w:marLeft w:val="0"/>
                      <w:marRight w:val="0"/>
                      <w:marTop w:val="0"/>
                      <w:marBottom w:val="0"/>
                      <w:divBdr>
                        <w:top w:val="none" w:sz="0" w:space="0" w:color="auto"/>
                        <w:left w:val="none" w:sz="0" w:space="0" w:color="auto"/>
                        <w:bottom w:val="none" w:sz="0" w:space="0" w:color="auto"/>
                        <w:right w:val="none" w:sz="0" w:space="0" w:color="auto"/>
                      </w:divBdr>
                    </w:div>
                  </w:divsChild>
                </w:div>
                <w:div w:id="982391667">
                  <w:marLeft w:val="0"/>
                  <w:marRight w:val="0"/>
                  <w:marTop w:val="0"/>
                  <w:marBottom w:val="0"/>
                  <w:divBdr>
                    <w:top w:val="none" w:sz="0" w:space="0" w:color="auto"/>
                    <w:left w:val="none" w:sz="0" w:space="0" w:color="auto"/>
                    <w:bottom w:val="none" w:sz="0" w:space="0" w:color="auto"/>
                    <w:right w:val="none" w:sz="0" w:space="0" w:color="auto"/>
                  </w:divBdr>
                  <w:divsChild>
                    <w:div w:id="1443187869">
                      <w:marLeft w:val="0"/>
                      <w:marRight w:val="0"/>
                      <w:marTop w:val="0"/>
                      <w:marBottom w:val="0"/>
                      <w:divBdr>
                        <w:top w:val="none" w:sz="0" w:space="0" w:color="auto"/>
                        <w:left w:val="none" w:sz="0" w:space="0" w:color="auto"/>
                        <w:bottom w:val="none" w:sz="0" w:space="0" w:color="auto"/>
                        <w:right w:val="none" w:sz="0" w:space="0" w:color="auto"/>
                      </w:divBdr>
                    </w:div>
                  </w:divsChild>
                </w:div>
                <w:div w:id="1122918792">
                  <w:marLeft w:val="0"/>
                  <w:marRight w:val="0"/>
                  <w:marTop w:val="0"/>
                  <w:marBottom w:val="0"/>
                  <w:divBdr>
                    <w:top w:val="none" w:sz="0" w:space="0" w:color="auto"/>
                    <w:left w:val="none" w:sz="0" w:space="0" w:color="auto"/>
                    <w:bottom w:val="none" w:sz="0" w:space="0" w:color="auto"/>
                    <w:right w:val="none" w:sz="0" w:space="0" w:color="auto"/>
                  </w:divBdr>
                  <w:divsChild>
                    <w:div w:id="1529759781">
                      <w:marLeft w:val="0"/>
                      <w:marRight w:val="0"/>
                      <w:marTop w:val="0"/>
                      <w:marBottom w:val="0"/>
                      <w:divBdr>
                        <w:top w:val="none" w:sz="0" w:space="0" w:color="auto"/>
                        <w:left w:val="none" w:sz="0" w:space="0" w:color="auto"/>
                        <w:bottom w:val="none" w:sz="0" w:space="0" w:color="auto"/>
                        <w:right w:val="none" w:sz="0" w:space="0" w:color="auto"/>
                      </w:divBdr>
                    </w:div>
                  </w:divsChild>
                </w:div>
                <w:div w:id="1318730644">
                  <w:marLeft w:val="0"/>
                  <w:marRight w:val="0"/>
                  <w:marTop w:val="0"/>
                  <w:marBottom w:val="0"/>
                  <w:divBdr>
                    <w:top w:val="none" w:sz="0" w:space="0" w:color="auto"/>
                    <w:left w:val="none" w:sz="0" w:space="0" w:color="auto"/>
                    <w:bottom w:val="none" w:sz="0" w:space="0" w:color="auto"/>
                    <w:right w:val="none" w:sz="0" w:space="0" w:color="auto"/>
                  </w:divBdr>
                  <w:divsChild>
                    <w:div w:id="86118443">
                      <w:marLeft w:val="0"/>
                      <w:marRight w:val="0"/>
                      <w:marTop w:val="0"/>
                      <w:marBottom w:val="0"/>
                      <w:divBdr>
                        <w:top w:val="none" w:sz="0" w:space="0" w:color="auto"/>
                        <w:left w:val="none" w:sz="0" w:space="0" w:color="auto"/>
                        <w:bottom w:val="none" w:sz="0" w:space="0" w:color="auto"/>
                        <w:right w:val="none" w:sz="0" w:space="0" w:color="auto"/>
                      </w:divBdr>
                    </w:div>
                  </w:divsChild>
                </w:div>
                <w:div w:id="1346321462">
                  <w:marLeft w:val="0"/>
                  <w:marRight w:val="0"/>
                  <w:marTop w:val="0"/>
                  <w:marBottom w:val="0"/>
                  <w:divBdr>
                    <w:top w:val="none" w:sz="0" w:space="0" w:color="auto"/>
                    <w:left w:val="none" w:sz="0" w:space="0" w:color="auto"/>
                    <w:bottom w:val="none" w:sz="0" w:space="0" w:color="auto"/>
                    <w:right w:val="none" w:sz="0" w:space="0" w:color="auto"/>
                  </w:divBdr>
                  <w:divsChild>
                    <w:div w:id="1076904099">
                      <w:marLeft w:val="0"/>
                      <w:marRight w:val="0"/>
                      <w:marTop w:val="0"/>
                      <w:marBottom w:val="0"/>
                      <w:divBdr>
                        <w:top w:val="none" w:sz="0" w:space="0" w:color="auto"/>
                        <w:left w:val="none" w:sz="0" w:space="0" w:color="auto"/>
                        <w:bottom w:val="none" w:sz="0" w:space="0" w:color="auto"/>
                        <w:right w:val="none" w:sz="0" w:space="0" w:color="auto"/>
                      </w:divBdr>
                    </w:div>
                  </w:divsChild>
                </w:div>
                <w:div w:id="1352150419">
                  <w:marLeft w:val="0"/>
                  <w:marRight w:val="0"/>
                  <w:marTop w:val="0"/>
                  <w:marBottom w:val="0"/>
                  <w:divBdr>
                    <w:top w:val="none" w:sz="0" w:space="0" w:color="auto"/>
                    <w:left w:val="none" w:sz="0" w:space="0" w:color="auto"/>
                    <w:bottom w:val="none" w:sz="0" w:space="0" w:color="auto"/>
                    <w:right w:val="none" w:sz="0" w:space="0" w:color="auto"/>
                  </w:divBdr>
                  <w:divsChild>
                    <w:div w:id="1894854685">
                      <w:marLeft w:val="0"/>
                      <w:marRight w:val="0"/>
                      <w:marTop w:val="0"/>
                      <w:marBottom w:val="0"/>
                      <w:divBdr>
                        <w:top w:val="none" w:sz="0" w:space="0" w:color="auto"/>
                        <w:left w:val="none" w:sz="0" w:space="0" w:color="auto"/>
                        <w:bottom w:val="none" w:sz="0" w:space="0" w:color="auto"/>
                        <w:right w:val="none" w:sz="0" w:space="0" w:color="auto"/>
                      </w:divBdr>
                    </w:div>
                  </w:divsChild>
                </w:div>
                <w:div w:id="1471823987">
                  <w:marLeft w:val="0"/>
                  <w:marRight w:val="0"/>
                  <w:marTop w:val="0"/>
                  <w:marBottom w:val="0"/>
                  <w:divBdr>
                    <w:top w:val="none" w:sz="0" w:space="0" w:color="auto"/>
                    <w:left w:val="none" w:sz="0" w:space="0" w:color="auto"/>
                    <w:bottom w:val="none" w:sz="0" w:space="0" w:color="auto"/>
                    <w:right w:val="none" w:sz="0" w:space="0" w:color="auto"/>
                  </w:divBdr>
                  <w:divsChild>
                    <w:div w:id="2137016107">
                      <w:marLeft w:val="0"/>
                      <w:marRight w:val="0"/>
                      <w:marTop w:val="0"/>
                      <w:marBottom w:val="0"/>
                      <w:divBdr>
                        <w:top w:val="none" w:sz="0" w:space="0" w:color="auto"/>
                        <w:left w:val="none" w:sz="0" w:space="0" w:color="auto"/>
                        <w:bottom w:val="none" w:sz="0" w:space="0" w:color="auto"/>
                        <w:right w:val="none" w:sz="0" w:space="0" w:color="auto"/>
                      </w:divBdr>
                    </w:div>
                  </w:divsChild>
                </w:div>
                <w:div w:id="1521505940">
                  <w:marLeft w:val="0"/>
                  <w:marRight w:val="0"/>
                  <w:marTop w:val="0"/>
                  <w:marBottom w:val="0"/>
                  <w:divBdr>
                    <w:top w:val="none" w:sz="0" w:space="0" w:color="auto"/>
                    <w:left w:val="none" w:sz="0" w:space="0" w:color="auto"/>
                    <w:bottom w:val="none" w:sz="0" w:space="0" w:color="auto"/>
                    <w:right w:val="none" w:sz="0" w:space="0" w:color="auto"/>
                  </w:divBdr>
                  <w:divsChild>
                    <w:div w:id="941375525">
                      <w:marLeft w:val="0"/>
                      <w:marRight w:val="0"/>
                      <w:marTop w:val="0"/>
                      <w:marBottom w:val="0"/>
                      <w:divBdr>
                        <w:top w:val="none" w:sz="0" w:space="0" w:color="auto"/>
                        <w:left w:val="none" w:sz="0" w:space="0" w:color="auto"/>
                        <w:bottom w:val="none" w:sz="0" w:space="0" w:color="auto"/>
                        <w:right w:val="none" w:sz="0" w:space="0" w:color="auto"/>
                      </w:divBdr>
                    </w:div>
                  </w:divsChild>
                </w:div>
                <w:div w:id="1569881709">
                  <w:marLeft w:val="0"/>
                  <w:marRight w:val="0"/>
                  <w:marTop w:val="0"/>
                  <w:marBottom w:val="0"/>
                  <w:divBdr>
                    <w:top w:val="none" w:sz="0" w:space="0" w:color="auto"/>
                    <w:left w:val="none" w:sz="0" w:space="0" w:color="auto"/>
                    <w:bottom w:val="none" w:sz="0" w:space="0" w:color="auto"/>
                    <w:right w:val="none" w:sz="0" w:space="0" w:color="auto"/>
                  </w:divBdr>
                  <w:divsChild>
                    <w:div w:id="176500738">
                      <w:marLeft w:val="0"/>
                      <w:marRight w:val="0"/>
                      <w:marTop w:val="0"/>
                      <w:marBottom w:val="0"/>
                      <w:divBdr>
                        <w:top w:val="none" w:sz="0" w:space="0" w:color="auto"/>
                        <w:left w:val="none" w:sz="0" w:space="0" w:color="auto"/>
                        <w:bottom w:val="none" w:sz="0" w:space="0" w:color="auto"/>
                        <w:right w:val="none" w:sz="0" w:space="0" w:color="auto"/>
                      </w:divBdr>
                    </w:div>
                  </w:divsChild>
                </w:div>
                <w:div w:id="1674143042">
                  <w:marLeft w:val="0"/>
                  <w:marRight w:val="0"/>
                  <w:marTop w:val="0"/>
                  <w:marBottom w:val="0"/>
                  <w:divBdr>
                    <w:top w:val="none" w:sz="0" w:space="0" w:color="auto"/>
                    <w:left w:val="none" w:sz="0" w:space="0" w:color="auto"/>
                    <w:bottom w:val="none" w:sz="0" w:space="0" w:color="auto"/>
                    <w:right w:val="none" w:sz="0" w:space="0" w:color="auto"/>
                  </w:divBdr>
                  <w:divsChild>
                    <w:div w:id="630669669">
                      <w:marLeft w:val="0"/>
                      <w:marRight w:val="0"/>
                      <w:marTop w:val="0"/>
                      <w:marBottom w:val="0"/>
                      <w:divBdr>
                        <w:top w:val="none" w:sz="0" w:space="0" w:color="auto"/>
                        <w:left w:val="none" w:sz="0" w:space="0" w:color="auto"/>
                        <w:bottom w:val="none" w:sz="0" w:space="0" w:color="auto"/>
                        <w:right w:val="none" w:sz="0" w:space="0" w:color="auto"/>
                      </w:divBdr>
                    </w:div>
                  </w:divsChild>
                </w:div>
                <w:div w:id="1679573867">
                  <w:marLeft w:val="0"/>
                  <w:marRight w:val="0"/>
                  <w:marTop w:val="0"/>
                  <w:marBottom w:val="0"/>
                  <w:divBdr>
                    <w:top w:val="none" w:sz="0" w:space="0" w:color="auto"/>
                    <w:left w:val="none" w:sz="0" w:space="0" w:color="auto"/>
                    <w:bottom w:val="none" w:sz="0" w:space="0" w:color="auto"/>
                    <w:right w:val="none" w:sz="0" w:space="0" w:color="auto"/>
                  </w:divBdr>
                  <w:divsChild>
                    <w:div w:id="887716708">
                      <w:marLeft w:val="0"/>
                      <w:marRight w:val="0"/>
                      <w:marTop w:val="0"/>
                      <w:marBottom w:val="0"/>
                      <w:divBdr>
                        <w:top w:val="none" w:sz="0" w:space="0" w:color="auto"/>
                        <w:left w:val="none" w:sz="0" w:space="0" w:color="auto"/>
                        <w:bottom w:val="none" w:sz="0" w:space="0" w:color="auto"/>
                        <w:right w:val="none" w:sz="0" w:space="0" w:color="auto"/>
                      </w:divBdr>
                    </w:div>
                  </w:divsChild>
                </w:div>
                <w:div w:id="1841116836">
                  <w:marLeft w:val="0"/>
                  <w:marRight w:val="0"/>
                  <w:marTop w:val="0"/>
                  <w:marBottom w:val="0"/>
                  <w:divBdr>
                    <w:top w:val="none" w:sz="0" w:space="0" w:color="auto"/>
                    <w:left w:val="none" w:sz="0" w:space="0" w:color="auto"/>
                    <w:bottom w:val="none" w:sz="0" w:space="0" w:color="auto"/>
                    <w:right w:val="none" w:sz="0" w:space="0" w:color="auto"/>
                  </w:divBdr>
                  <w:divsChild>
                    <w:div w:id="1001927662">
                      <w:marLeft w:val="0"/>
                      <w:marRight w:val="0"/>
                      <w:marTop w:val="0"/>
                      <w:marBottom w:val="0"/>
                      <w:divBdr>
                        <w:top w:val="none" w:sz="0" w:space="0" w:color="auto"/>
                        <w:left w:val="none" w:sz="0" w:space="0" w:color="auto"/>
                        <w:bottom w:val="none" w:sz="0" w:space="0" w:color="auto"/>
                        <w:right w:val="none" w:sz="0" w:space="0" w:color="auto"/>
                      </w:divBdr>
                    </w:div>
                    <w:div w:id="1113014339">
                      <w:marLeft w:val="0"/>
                      <w:marRight w:val="0"/>
                      <w:marTop w:val="0"/>
                      <w:marBottom w:val="0"/>
                      <w:divBdr>
                        <w:top w:val="none" w:sz="0" w:space="0" w:color="auto"/>
                        <w:left w:val="none" w:sz="0" w:space="0" w:color="auto"/>
                        <w:bottom w:val="none" w:sz="0" w:space="0" w:color="auto"/>
                        <w:right w:val="none" w:sz="0" w:space="0" w:color="auto"/>
                      </w:divBdr>
                    </w:div>
                  </w:divsChild>
                </w:div>
                <w:div w:id="1898935983">
                  <w:marLeft w:val="0"/>
                  <w:marRight w:val="0"/>
                  <w:marTop w:val="0"/>
                  <w:marBottom w:val="0"/>
                  <w:divBdr>
                    <w:top w:val="none" w:sz="0" w:space="0" w:color="auto"/>
                    <w:left w:val="none" w:sz="0" w:space="0" w:color="auto"/>
                    <w:bottom w:val="none" w:sz="0" w:space="0" w:color="auto"/>
                    <w:right w:val="none" w:sz="0" w:space="0" w:color="auto"/>
                  </w:divBdr>
                  <w:divsChild>
                    <w:div w:id="1067999935">
                      <w:marLeft w:val="0"/>
                      <w:marRight w:val="0"/>
                      <w:marTop w:val="0"/>
                      <w:marBottom w:val="0"/>
                      <w:divBdr>
                        <w:top w:val="none" w:sz="0" w:space="0" w:color="auto"/>
                        <w:left w:val="none" w:sz="0" w:space="0" w:color="auto"/>
                        <w:bottom w:val="none" w:sz="0" w:space="0" w:color="auto"/>
                        <w:right w:val="none" w:sz="0" w:space="0" w:color="auto"/>
                      </w:divBdr>
                    </w:div>
                  </w:divsChild>
                </w:div>
                <w:div w:id="1952734973">
                  <w:marLeft w:val="0"/>
                  <w:marRight w:val="0"/>
                  <w:marTop w:val="0"/>
                  <w:marBottom w:val="0"/>
                  <w:divBdr>
                    <w:top w:val="none" w:sz="0" w:space="0" w:color="auto"/>
                    <w:left w:val="none" w:sz="0" w:space="0" w:color="auto"/>
                    <w:bottom w:val="none" w:sz="0" w:space="0" w:color="auto"/>
                    <w:right w:val="none" w:sz="0" w:space="0" w:color="auto"/>
                  </w:divBdr>
                  <w:divsChild>
                    <w:div w:id="1029256272">
                      <w:marLeft w:val="0"/>
                      <w:marRight w:val="0"/>
                      <w:marTop w:val="0"/>
                      <w:marBottom w:val="0"/>
                      <w:divBdr>
                        <w:top w:val="none" w:sz="0" w:space="0" w:color="auto"/>
                        <w:left w:val="none" w:sz="0" w:space="0" w:color="auto"/>
                        <w:bottom w:val="none" w:sz="0" w:space="0" w:color="auto"/>
                        <w:right w:val="none" w:sz="0" w:space="0" w:color="auto"/>
                      </w:divBdr>
                    </w:div>
                  </w:divsChild>
                </w:div>
                <w:div w:id="1957639010">
                  <w:marLeft w:val="0"/>
                  <w:marRight w:val="0"/>
                  <w:marTop w:val="0"/>
                  <w:marBottom w:val="0"/>
                  <w:divBdr>
                    <w:top w:val="none" w:sz="0" w:space="0" w:color="auto"/>
                    <w:left w:val="none" w:sz="0" w:space="0" w:color="auto"/>
                    <w:bottom w:val="none" w:sz="0" w:space="0" w:color="auto"/>
                    <w:right w:val="none" w:sz="0" w:space="0" w:color="auto"/>
                  </w:divBdr>
                  <w:divsChild>
                    <w:div w:id="1473017">
                      <w:marLeft w:val="0"/>
                      <w:marRight w:val="0"/>
                      <w:marTop w:val="0"/>
                      <w:marBottom w:val="0"/>
                      <w:divBdr>
                        <w:top w:val="none" w:sz="0" w:space="0" w:color="auto"/>
                        <w:left w:val="none" w:sz="0" w:space="0" w:color="auto"/>
                        <w:bottom w:val="none" w:sz="0" w:space="0" w:color="auto"/>
                        <w:right w:val="none" w:sz="0" w:space="0" w:color="auto"/>
                      </w:divBdr>
                    </w:div>
                  </w:divsChild>
                </w:div>
                <w:div w:id="2068989063">
                  <w:marLeft w:val="0"/>
                  <w:marRight w:val="0"/>
                  <w:marTop w:val="0"/>
                  <w:marBottom w:val="0"/>
                  <w:divBdr>
                    <w:top w:val="none" w:sz="0" w:space="0" w:color="auto"/>
                    <w:left w:val="none" w:sz="0" w:space="0" w:color="auto"/>
                    <w:bottom w:val="none" w:sz="0" w:space="0" w:color="auto"/>
                    <w:right w:val="none" w:sz="0" w:space="0" w:color="auto"/>
                  </w:divBdr>
                  <w:divsChild>
                    <w:div w:id="1294171821">
                      <w:marLeft w:val="0"/>
                      <w:marRight w:val="0"/>
                      <w:marTop w:val="0"/>
                      <w:marBottom w:val="0"/>
                      <w:divBdr>
                        <w:top w:val="none" w:sz="0" w:space="0" w:color="auto"/>
                        <w:left w:val="none" w:sz="0" w:space="0" w:color="auto"/>
                        <w:bottom w:val="none" w:sz="0" w:space="0" w:color="auto"/>
                        <w:right w:val="none" w:sz="0" w:space="0" w:color="auto"/>
                      </w:divBdr>
                    </w:div>
                    <w:div w:id="1422289400">
                      <w:marLeft w:val="0"/>
                      <w:marRight w:val="0"/>
                      <w:marTop w:val="0"/>
                      <w:marBottom w:val="0"/>
                      <w:divBdr>
                        <w:top w:val="none" w:sz="0" w:space="0" w:color="auto"/>
                        <w:left w:val="none" w:sz="0" w:space="0" w:color="auto"/>
                        <w:bottom w:val="none" w:sz="0" w:space="0" w:color="auto"/>
                        <w:right w:val="none" w:sz="0" w:space="0" w:color="auto"/>
                      </w:divBdr>
                    </w:div>
                  </w:divsChild>
                </w:div>
                <w:div w:id="2093888427">
                  <w:marLeft w:val="0"/>
                  <w:marRight w:val="0"/>
                  <w:marTop w:val="0"/>
                  <w:marBottom w:val="0"/>
                  <w:divBdr>
                    <w:top w:val="none" w:sz="0" w:space="0" w:color="auto"/>
                    <w:left w:val="none" w:sz="0" w:space="0" w:color="auto"/>
                    <w:bottom w:val="none" w:sz="0" w:space="0" w:color="auto"/>
                    <w:right w:val="none" w:sz="0" w:space="0" w:color="auto"/>
                  </w:divBdr>
                  <w:divsChild>
                    <w:div w:id="1899901271">
                      <w:marLeft w:val="0"/>
                      <w:marRight w:val="0"/>
                      <w:marTop w:val="0"/>
                      <w:marBottom w:val="0"/>
                      <w:divBdr>
                        <w:top w:val="none" w:sz="0" w:space="0" w:color="auto"/>
                        <w:left w:val="none" w:sz="0" w:space="0" w:color="auto"/>
                        <w:bottom w:val="none" w:sz="0" w:space="0" w:color="auto"/>
                        <w:right w:val="none" w:sz="0" w:space="0" w:color="auto"/>
                      </w:divBdr>
                    </w:div>
                  </w:divsChild>
                </w:div>
                <w:div w:id="2116821173">
                  <w:marLeft w:val="0"/>
                  <w:marRight w:val="0"/>
                  <w:marTop w:val="0"/>
                  <w:marBottom w:val="0"/>
                  <w:divBdr>
                    <w:top w:val="none" w:sz="0" w:space="0" w:color="auto"/>
                    <w:left w:val="none" w:sz="0" w:space="0" w:color="auto"/>
                    <w:bottom w:val="none" w:sz="0" w:space="0" w:color="auto"/>
                    <w:right w:val="none" w:sz="0" w:space="0" w:color="auto"/>
                  </w:divBdr>
                  <w:divsChild>
                    <w:div w:id="52386308">
                      <w:marLeft w:val="0"/>
                      <w:marRight w:val="0"/>
                      <w:marTop w:val="0"/>
                      <w:marBottom w:val="0"/>
                      <w:divBdr>
                        <w:top w:val="none" w:sz="0" w:space="0" w:color="auto"/>
                        <w:left w:val="none" w:sz="0" w:space="0" w:color="auto"/>
                        <w:bottom w:val="none" w:sz="0" w:space="0" w:color="auto"/>
                        <w:right w:val="none" w:sz="0" w:space="0" w:color="auto"/>
                      </w:divBdr>
                    </w:div>
                  </w:divsChild>
                </w:div>
                <w:div w:id="2119178385">
                  <w:marLeft w:val="0"/>
                  <w:marRight w:val="0"/>
                  <w:marTop w:val="0"/>
                  <w:marBottom w:val="0"/>
                  <w:divBdr>
                    <w:top w:val="none" w:sz="0" w:space="0" w:color="auto"/>
                    <w:left w:val="none" w:sz="0" w:space="0" w:color="auto"/>
                    <w:bottom w:val="none" w:sz="0" w:space="0" w:color="auto"/>
                    <w:right w:val="none" w:sz="0" w:space="0" w:color="auto"/>
                  </w:divBdr>
                  <w:divsChild>
                    <w:div w:id="1719940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9665213">
      <w:bodyDiv w:val="1"/>
      <w:marLeft w:val="0"/>
      <w:marRight w:val="0"/>
      <w:marTop w:val="0"/>
      <w:marBottom w:val="0"/>
      <w:divBdr>
        <w:top w:val="none" w:sz="0" w:space="0" w:color="auto"/>
        <w:left w:val="none" w:sz="0" w:space="0" w:color="auto"/>
        <w:bottom w:val="none" w:sz="0" w:space="0" w:color="auto"/>
        <w:right w:val="none" w:sz="0" w:space="0" w:color="auto"/>
      </w:divBdr>
    </w:div>
    <w:div w:id="1045367421">
      <w:bodyDiv w:val="1"/>
      <w:marLeft w:val="0"/>
      <w:marRight w:val="0"/>
      <w:marTop w:val="0"/>
      <w:marBottom w:val="0"/>
      <w:divBdr>
        <w:top w:val="none" w:sz="0" w:space="0" w:color="auto"/>
        <w:left w:val="none" w:sz="0" w:space="0" w:color="auto"/>
        <w:bottom w:val="none" w:sz="0" w:space="0" w:color="auto"/>
        <w:right w:val="none" w:sz="0" w:space="0" w:color="auto"/>
      </w:divBdr>
    </w:div>
    <w:div w:id="1348825254">
      <w:bodyDiv w:val="1"/>
      <w:marLeft w:val="0"/>
      <w:marRight w:val="0"/>
      <w:marTop w:val="0"/>
      <w:marBottom w:val="0"/>
      <w:divBdr>
        <w:top w:val="none" w:sz="0" w:space="0" w:color="auto"/>
        <w:left w:val="none" w:sz="0" w:space="0" w:color="auto"/>
        <w:bottom w:val="none" w:sz="0" w:space="0" w:color="auto"/>
        <w:right w:val="none" w:sz="0" w:space="0" w:color="auto"/>
      </w:divBdr>
      <w:divsChild>
        <w:div w:id="1033270906">
          <w:marLeft w:val="0"/>
          <w:marRight w:val="0"/>
          <w:marTop w:val="0"/>
          <w:marBottom w:val="0"/>
          <w:divBdr>
            <w:top w:val="none" w:sz="0" w:space="0" w:color="auto"/>
            <w:left w:val="none" w:sz="0" w:space="0" w:color="auto"/>
            <w:bottom w:val="none" w:sz="0" w:space="0" w:color="auto"/>
            <w:right w:val="none" w:sz="0" w:space="0" w:color="auto"/>
          </w:divBdr>
        </w:div>
      </w:divsChild>
    </w:div>
    <w:div w:id="1510869896">
      <w:bodyDiv w:val="1"/>
      <w:marLeft w:val="0"/>
      <w:marRight w:val="0"/>
      <w:marTop w:val="0"/>
      <w:marBottom w:val="0"/>
      <w:divBdr>
        <w:top w:val="none" w:sz="0" w:space="0" w:color="auto"/>
        <w:left w:val="none" w:sz="0" w:space="0" w:color="auto"/>
        <w:bottom w:val="none" w:sz="0" w:space="0" w:color="auto"/>
        <w:right w:val="none" w:sz="0" w:space="0" w:color="auto"/>
      </w:divBdr>
    </w:div>
    <w:div w:id="1630672234">
      <w:bodyDiv w:val="1"/>
      <w:marLeft w:val="0"/>
      <w:marRight w:val="0"/>
      <w:marTop w:val="0"/>
      <w:marBottom w:val="0"/>
      <w:divBdr>
        <w:top w:val="none" w:sz="0" w:space="0" w:color="auto"/>
        <w:left w:val="none" w:sz="0" w:space="0" w:color="auto"/>
        <w:bottom w:val="none" w:sz="0" w:space="0" w:color="auto"/>
        <w:right w:val="none" w:sz="0" w:space="0" w:color="auto"/>
      </w:divBdr>
      <w:divsChild>
        <w:div w:id="5562042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qjiizhg\AppData\Local\Microsoft\Windows\Temporary%20Internet%20Files\Content.IE5\U1D5RUSF\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0A9B6C-66B2-4026-8376-E7639DB6D417}">
  <ds:schemaRefs>
    <ds:schemaRef ds:uri="http://schemas.openxmlformats.org/officeDocument/2006/bibliography"/>
  </ds:schemaRefs>
</ds:datastoreItem>
</file>

<file path=customXml/itemProps2.xml><?xml version="1.0" encoding="utf-8"?>
<ds:datastoreItem xmlns:ds="http://schemas.openxmlformats.org/officeDocument/2006/customXml" ds:itemID="{45D93C72-052F-4C31-BB9B-F2BB328FC4D8}">
  <ds:schemaRefs>
    <ds:schemaRef ds:uri="http://schemas.microsoft.com/office/2006/metadata/properties"/>
    <ds:schemaRef ds:uri="2f282d3b-eb4a-4b09-b61f-b9593442e286"/>
    <ds:schemaRef ds:uri="http://schemas.openxmlformats.org/package/2006/metadata/core-properties"/>
    <ds:schemaRef ds:uri="http://schemas.microsoft.com/office/2006/documentManagement/types"/>
    <ds:schemaRef ds:uri="http://schemas.microsoft.com/sharepoint/v3"/>
    <ds:schemaRef ds:uri="http://purl.org/dc/terms/"/>
    <ds:schemaRef ds:uri="http://www.w3.org/XML/1998/namespace"/>
    <ds:schemaRef ds:uri="http://schemas.microsoft.com/office/infopath/2007/PartnerControls"/>
    <ds:schemaRef ds:uri="d8762117-8292-4133-b1c7-eab5c6487cfd"/>
    <ds:schemaRef ds:uri="9b239327-9e80-40e4-b1b7-4394fed77a33"/>
    <ds:schemaRef ds:uri="http://purl.org/dc/dcmitype/"/>
    <ds:schemaRef ds:uri="http://purl.org/dc/elements/1.1/"/>
  </ds:schemaRefs>
</ds:datastoreItem>
</file>

<file path=customXml/itemProps3.xml><?xml version="1.0" encoding="utf-8"?>
<ds:datastoreItem xmlns:ds="http://schemas.openxmlformats.org/officeDocument/2006/customXml" ds:itemID="{A54D8615-D113-40E7-ADE5-9BC607CEAE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484AB6-5E4B-476E-8EB6-5D7E4DB11D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TotalTime>
  <Pages>11</Pages>
  <Words>3210</Words>
  <Characters>17185</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20355</CharactersWithSpaces>
  <SharedDoc>false</SharedDoc>
  <HLinks>
    <vt:vector size="6" baseType="variant">
      <vt:variant>
        <vt:i4>4128835</vt:i4>
      </vt:variant>
      <vt:variant>
        <vt:i4>0</vt:i4>
      </vt:variant>
      <vt:variant>
        <vt:i4>0</vt:i4>
      </vt:variant>
      <vt:variant>
        <vt:i4>5</vt:i4>
      </vt:variant>
      <vt:variant>
        <vt:lpwstr>mailto:andreas.nilsson@ericsson.com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Jianwei Zhang</cp:lastModifiedBy>
  <cp:revision>2</cp:revision>
  <cp:lastPrinted>2008-01-31T07:09:00Z</cp:lastPrinted>
  <dcterms:created xsi:type="dcterms:W3CDTF">2023-05-15T10:30:00Z</dcterms:created>
  <dcterms:modified xsi:type="dcterms:W3CDTF">2023-05-15T10:30:00Z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